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0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052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Steve Louis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36" w:lineRule="auto"/>
        <w:rPr>
          <w:sz w:val="20"/>
          <w:szCs w:val="20"/>
          <w:color w:val="auto"/>
        </w:rPr>
      </w:pPr>
      <w:r>
        <w:rPr>
          <w:rFonts w:ascii="Times New Roman" w:cs="Times New Roman" w:eastAsia="Times New Roman" w:hAnsi="Times New Roman"/>
          <w:sz w:val="17"/>
          <w:szCs w:val="17"/>
          <w:color w:val="0000FF"/>
        </w:rPr>
        <w:t>C/O TRINITY CAPITAL INC. 1 N. 1ST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Trinity Capital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8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85004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8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ind w:right="116"/>
              <w:spacing w:after="0" w:line="320" w:lineRule="exact"/>
              <w:rPr>
                <w:sz w:val="20"/>
                <w:szCs w:val="20"/>
                <w:color w:val="auto"/>
              </w:rPr>
            </w:pPr>
            <w:r>
              <w:rPr>
                <w:rFonts w:ascii="Times New Roman" w:cs="Times New Roman" w:eastAsia="Times New Roman" w:hAnsi="Times New Roman"/>
                <w:sz w:val="34"/>
                <w:szCs w:val="34"/>
                <w:color w:val="0000FF"/>
                <w:vertAlign w:val="subscript"/>
              </w:rPr>
              <w:t>662</w:t>
            </w:r>
            <w:r>
              <w:rPr>
                <w:rFonts w:ascii="Times New Roman" w:cs="Times New Roman" w:eastAsia="Times New Roman" w:hAnsi="Times New Roman"/>
                <w:sz w:val="11"/>
                <w:szCs w:val="11"/>
                <w:color w:val="008000"/>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16.89</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375,645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13,590</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16.89</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362,055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Steven</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Patricia</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940,745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Brown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Family</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March</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19, 1998</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reporting person's tax obligations in connection with vesting of restricted shares on June 14, 2026. Transaction exempt from Section 16(b) pursuant to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reporting person's tax obligations in connection with vesting of restricted shares on June 15, 2026. Transaction exempt from Section 16(b) pursuant to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Sarah Stanton is signing on behalf of Mr. S. Brown pursuant to the power of attorney dated June 2, 2021, which was previously filed with the Securities and Exchange Commission as an exhibit to the Form 4 Mr. S. Brown filed on June 2, 2021.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Sarah Stanton, on behalf of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Steven L. Brown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8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86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793" TargetMode="External"/><Relationship Id="rId14" Type="http://schemas.openxmlformats.org/officeDocument/2006/relationships/hyperlink" Target="http://www.sec.gov/cgi-bin/browse-edgar?action=getcompany&amp;CIK=0001786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2026-06-16T17:32:07Z</dcterms:created>
  <dcterms:modified xsi:type="dcterms:W3CDTF">2026-06-16T17:32:07Z</dcterms:modified>
</cp:coreProperties>
</file>