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firstLine="1440"/>
        <w:jc w:val="right"/>
        <w:rPr>
          <w:rFonts w:ascii="Times New Roman;Times;Serif" w:hAnsi="Times New Roman;Times;Serif"/>
          <w:b/>
          <w:i w:val="false"/>
          <w:caps w:val="false"/>
          <w:smallCaps w:val="false"/>
          <w:sz w:val="20"/>
        </w:rPr>
      </w:pPr>
      <w:bookmarkStart w:id="0" w:name="ea0290395-01_497ad.htm"/>
      <w:bookmarkStart w:id="1" w:name="ksea029039501_497ad"/>
      <w:bookmarkEnd w:id="0"/>
      <w:bookmarkEnd w:id="1"/>
      <w:r>
        <w:rPr>
          <w:rFonts w:ascii="Times New Roman;Times;Serif" w:hAnsi="Times New Roman;Times;Serif"/>
          <w:b/>
          <w:i w:val="false"/>
          <w:caps w:val="false"/>
          <w:smallCaps w:val="false"/>
          <w:sz w:val="20"/>
        </w:rPr>
        <w:t>Filed pursuant to Rule 497(a)</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File No. 333-289495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482ad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OF COMMUNICATION SENT VIA BLOOMBERG]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Trinity Capital Fixed Income Investor Calls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May 13-14: USD SEC Reg Senior Notes Offering May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Trinity Capital Inc. (the “Company”, ticker “TRIN") has requested KBW and MUFG to arrange a series of fixed income update calls for Wednesday, May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and Thursday, May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 virtual presentation has been made available in advance of the calls. A USD-denominated, SEC-Registered senior unsecured notes offering may follow, subject to market conditions. Trinity Capital Inc. has senior unsecured ratings* of Baa3 (stable) from Moody’s Rating Agency, BBB (stable) from Egan-Jones, and BBBL (stable) from Morningstar DBRS.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will be coordinating logistics for the investor calls.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Company Representatives:</w:t>
      </w:r>
    </w:p>
    <w:tbl>
      <w:tblPr>
        <w:tblW w:w="7713" w:type="dxa"/>
        <w:jc w:val="left"/>
        <w:tblInd w:w="0" w:type="dxa"/>
        <w:tblLayout w:type="fixed"/>
        <w:tblCellMar>
          <w:top w:w="0" w:type="dxa"/>
          <w:left w:w="0" w:type="dxa"/>
          <w:bottom w:w="0" w:type="dxa"/>
          <w:right w:w="0" w:type="dxa"/>
        </w:tblCellMar>
      </w:tblPr>
      <w:tblGrid>
        <w:gridCol w:w="38"/>
        <w:gridCol w:w="8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Symbol" w:hAnsi="Symbol"/>
              </w:rPr>
            </w:pPr>
            <w:r>
              <w:rPr>
                <w:rFonts w:ascii="Symbol" w:hAnsi="Symbol"/>
              </w:rPr>
              <w:t>.</w:t>
            </w:r>
          </w:p>
        </w:tc>
        <w:tc>
          <w:tcPr>
            <w:tcW w:w="7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Kyle Brown – Chief Executive Officer, President, and Chief Investment Officer</w:t>
            </w:r>
          </w:p>
        </w:tc>
      </w:tr>
    </w:tbl>
    <w:tbl>
      <w:tblPr>
        <w:tblW w:w="7293" w:type="dxa"/>
        <w:jc w:val="left"/>
        <w:tblInd w:w="0" w:type="dxa"/>
        <w:tblLayout w:type="fixed"/>
        <w:tblCellMar>
          <w:top w:w="0" w:type="dxa"/>
          <w:left w:w="0" w:type="dxa"/>
          <w:bottom w:w="0" w:type="dxa"/>
          <w:right w:w="0" w:type="dxa"/>
        </w:tblCellMar>
      </w:tblPr>
      <w:tblGrid>
        <w:gridCol w:w="38"/>
        <w:gridCol w:w="8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Symbol" w:hAnsi="Symbol"/>
              </w:rPr>
            </w:pPr>
            <w:r>
              <w:rPr>
                <w:rFonts w:ascii="Symbol" w:hAnsi="Symbol"/>
              </w:rPr>
              <w:t>.</w:t>
            </w:r>
          </w:p>
        </w:tc>
        <w:tc>
          <w:tcPr>
            <w:tcW w:w="71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Sarah Stanton – General Counsel, Chief Compliance Officer, and Secretary</w:t>
            </w:r>
          </w:p>
        </w:tc>
      </w:tr>
    </w:tbl>
    <w:tbl>
      <w:tblPr>
        <w:tblW w:w="4848" w:type="dxa"/>
        <w:jc w:val="left"/>
        <w:tblInd w:w="0" w:type="dxa"/>
        <w:tblLayout w:type="fixed"/>
        <w:tblCellMar>
          <w:top w:w="0" w:type="dxa"/>
          <w:left w:w="0" w:type="dxa"/>
          <w:bottom w:w="0" w:type="dxa"/>
          <w:right w:w="0" w:type="dxa"/>
        </w:tblCellMar>
      </w:tblPr>
      <w:tblGrid>
        <w:gridCol w:w="38"/>
        <w:gridCol w:w="8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Symbol" w:hAnsi="Symbol"/>
              </w:rPr>
            </w:pPr>
            <w:r>
              <w:rPr>
                <w:rFonts w:ascii="Symbol" w:hAnsi="Symbol"/>
              </w:rPr>
              <w:t>.</w:t>
            </w:r>
          </w:p>
        </w:tc>
        <w:tc>
          <w:tcPr>
            <w:tcW w:w="47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Gerald “Gerry” Harder – Chief Operating Officer</w:t>
            </w:r>
          </w:p>
        </w:tc>
      </w:tr>
    </w:tbl>
    <w:tbl>
      <w:tblPr>
        <w:tblW w:w="3918" w:type="dxa"/>
        <w:jc w:val="left"/>
        <w:tblInd w:w="0" w:type="dxa"/>
        <w:tblLayout w:type="fixed"/>
        <w:tblCellMar>
          <w:top w:w="0" w:type="dxa"/>
          <w:left w:w="0" w:type="dxa"/>
          <w:bottom w:w="0" w:type="dxa"/>
          <w:right w:w="0" w:type="dxa"/>
        </w:tblCellMar>
      </w:tblPr>
      <w:tblGrid>
        <w:gridCol w:w="38"/>
        <w:gridCol w:w="8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Symbol" w:hAnsi="Symbol"/>
              </w:rPr>
            </w:pPr>
            <w:r>
              <w:rPr>
                <w:rFonts w:ascii="Symbol" w:hAnsi="Symbol"/>
              </w:rPr>
              <w:t>.</w:t>
            </w:r>
          </w:p>
        </w:tc>
        <w:tc>
          <w:tcPr>
            <w:tcW w:w="38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Michael Testa –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 Call Schedule: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Wednesday, May 13, 2026:</w:t>
      </w:r>
    </w:p>
    <w:tbl>
      <w:tblPr>
        <w:tblW w:w="6168" w:type="dxa"/>
        <w:jc w:val="left"/>
        <w:tblInd w:w="0" w:type="dxa"/>
        <w:tblLayout w:type="fixed"/>
        <w:tblCellMar>
          <w:top w:w="0" w:type="dxa"/>
          <w:left w:w="0" w:type="dxa"/>
          <w:bottom w:w="0" w:type="dxa"/>
          <w:right w:w="0" w:type="dxa"/>
        </w:tblCellMar>
      </w:tblPr>
      <w:tblGrid>
        <w:gridCol w:w="38"/>
        <w:gridCol w:w="8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Symbol" w:hAnsi="Symbol"/>
              </w:rPr>
            </w:pPr>
            <w:r>
              <w:rPr>
                <w:rFonts w:ascii="Symbol" w:hAnsi="Symbol"/>
              </w:rPr>
              <w:t>.</w:t>
            </w:r>
          </w:p>
        </w:tc>
        <w:tc>
          <w:tcPr>
            <w:tcW w:w="60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9:00 AM ET (Registration Link: </w:t>
            </w:r>
            <w:r>
              <w:rPr>
                <w:rFonts w:ascii="Times New Roman;Times;Serif" w:hAnsi="Times New Roman;Times;Serif"/>
                <w:u w:val="single"/>
              </w:rPr>
              <w:t>https://evercall.co/oacc/30421</w:t>
            </w:r>
            <w:r>
              <w:rPr>
                <w:rFonts w:ascii="Times New Roman;Times;Serif" w:hAnsi="Times New Roman;Times;Serif"/>
              </w:rPr>
              <w:t>)</w:t>
            </w:r>
          </w:p>
        </w:tc>
      </w:tr>
    </w:tbl>
    <w:tbl>
      <w:tblPr>
        <w:tblW w:w="6288" w:type="dxa"/>
        <w:jc w:val="left"/>
        <w:tblInd w:w="0" w:type="dxa"/>
        <w:tblLayout w:type="fixed"/>
        <w:tblCellMar>
          <w:top w:w="0" w:type="dxa"/>
          <w:left w:w="0" w:type="dxa"/>
          <w:bottom w:w="0" w:type="dxa"/>
          <w:right w:w="0" w:type="dxa"/>
        </w:tblCellMar>
      </w:tblPr>
      <w:tblGrid>
        <w:gridCol w:w="38"/>
        <w:gridCol w:w="8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Symbol" w:hAnsi="Symbol"/>
              </w:rPr>
            </w:pPr>
            <w:r>
              <w:rPr>
                <w:rFonts w:ascii="Symbol" w:hAnsi="Symbol"/>
              </w:rPr>
              <w:t>.</w:t>
            </w:r>
          </w:p>
        </w:tc>
        <w:tc>
          <w:tcPr>
            <w:tcW w:w="61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10:00 AM ET (Registration Link: </w:t>
            </w:r>
            <w:r>
              <w:rPr>
                <w:rFonts w:ascii="Times New Roman;Times;Serif" w:hAnsi="Times New Roman;Times;Serif"/>
                <w:u w:val="single"/>
              </w:rPr>
              <w:t>https://evercall.co/oacc/37129</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Thursday, May 14, 2026:</w:t>
      </w:r>
    </w:p>
    <w:tbl>
      <w:tblPr>
        <w:tblW w:w="6123" w:type="dxa"/>
        <w:jc w:val="left"/>
        <w:tblInd w:w="0" w:type="dxa"/>
        <w:tblLayout w:type="fixed"/>
        <w:tblCellMar>
          <w:top w:w="0" w:type="dxa"/>
          <w:left w:w="0" w:type="dxa"/>
          <w:bottom w:w="0" w:type="dxa"/>
          <w:right w:w="0" w:type="dxa"/>
        </w:tblCellMar>
      </w:tblPr>
      <w:tblGrid>
        <w:gridCol w:w="38"/>
        <w:gridCol w:w="8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Symbol" w:hAnsi="Symbol"/>
              </w:rPr>
            </w:pPr>
            <w:r>
              <w:rPr>
                <w:rFonts w:ascii="Symbol" w:hAnsi="Symbol"/>
              </w:rPr>
              <w:t>.</w:t>
            </w:r>
          </w:p>
        </w:tc>
        <w:tc>
          <w:tcPr>
            <w:tcW w:w="6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2:00 PM ET (Registration Link: </w:t>
            </w:r>
            <w:r>
              <w:rPr>
                <w:rFonts w:ascii="Times New Roman;Times;Serif" w:hAnsi="Times New Roman;Times;Serif"/>
                <w:u w:val="single"/>
              </w:rPr>
              <w:t>https://evercall.co/oacc/75335</w:t>
            </w:r>
            <w:r>
              <w:rPr>
                <w:rFonts w:ascii="Times New Roman;Times;Serif" w:hAnsi="Times New Roman;Times;Serif"/>
              </w:rPr>
              <w:t>)</w:t>
            </w:r>
          </w:p>
        </w:tc>
      </w:tr>
    </w:tbl>
    <w:tbl>
      <w:tblPr>
        <w:tblW w:w="6123" w:type="dxa"/>
        <w:jc w:val="left"/>
        <w:tblInd w:w="0" w:type="dxa"/>
        <w:tblLayout w:type="fixed"/>
        <w:tblCellMar>
          <w:top w:w="0" w:type="dxa"/>
          <w:left w:w="0" w:type="dxa"/>
          <w:bottom w:w="0" w:type="dxa"/>
          <w:right w:w="0" w:type="dxa"/>
        </w:tblCellMar>
      </w:tblPr>
      <w:tblGrid>
        <w:gridCol w:w="38"/>
        <w:gridCol w:w="8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Symbol" w:hAnsi="Symbol"/>
              </w:rPr>
            </w:pPr>
            <w:r>
              <w:rPr>
                <w:rFonts w:ascii="Symbol" w:hAnsi="Symbol"/>
              </w:rPr>
              <w:t>.</w:t>
            </w:r>
          </w:p>
        </w:tc>
        <w:tc>
          <w:tcPr>
            <w:tcW w:w="6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3:00 PM ET (Registration Link: </w:t>
            </w:r>
            <w:r>
              <w:rPr>
                <w:rFonts w:ascii="Times New Roman;Times;Serif" w:hAnsi="Times New Roman;Times;Serif"/>
                <w:u w:val="single"/>
              </w:rPr>
              <w:t>https://evercall.co/oacc/59939</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Virtual Roadshow Investor Login Details: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URL: </w:t>
      </w:r>
      <w:r>
        <w:rPr>
          <w:rFonts w:ascii="Times New Roman;Times;Serif" w:hAnsi="Times New Roman;Times;Serif"/>
          <w:b w:val="false"/>
          <w:i w:val="false"/>
          <w:caps w:val="false"/>
          <w:smallCaps w:val="false"/>
          <w:sz w:val="20"/>
          <w:u w:val="single"/>
        </w:rPr>
        <w:t>https://dealroadshow.com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Code: TRIN2026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Link: </w:t>
      </w:r>
      <w:r>
        <w:rPr>
          <w:rFonts w:ascii="Times New Roman;Times;Serif" w:hAnsi="Times New Roman;Times;Serif"/>
          <w:b w:val="false"/>
          <w:i w:val="false"/>
          <w:caps w:val="false"/>
          <w:smallCaps w:val="false"/>
          <w:sz w:val="20"/>
          <w:u w:val="single"/>
        </w:rPr>
        <w:t>https://dealroadshow.com/e/TRIN2026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explanation of the significance of ratings may be obtained from the rating agency. Generally, rating agencies base their ratings on such material and information, and such of their own investigations, studies and assumptions, as they deem appropriate. A credit rating of a security is not a recommendation to buy, sell or hold securities and may be subject to review, revision, suspension, reduction or withdrawal at any time by the assigning rating agency. No report of any rating agency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announcement is confidential and for your information only and is not to be used or reviewed by or distributed to anyone other than you. This announcement does not constitute an offer to sell or the solicitation of an offer to buy any securities of Trinity Capital Inc., nor shall there be any sale of securities in any jurisdiction in which any offer, solicitation or sale would be unlawful prior to registration or qualification of such securities under the securities laws of any such jurisdiction. If Trinity Capital Inc. were to conduct an offering of securities in the future, it would be expected to be made under Trinity Capital Inc.’s registration statement on form N-2 that has been filed with and declared effective by the Securities and Exchange Commission and only by means of a preliminary prospectus supplement and accompanying prospectus, as well as any final term sheet relating to such transaction, copies of which, if made available, would be able to be obtained from the Securities and Exchange Commission’s website at </w:t>
      </w:r>
      <w:r>
        <w:rPr>
          <w:rFonts w:ascii="Times New Roman;Times;Serif" w:hAnsi="Times New Roman;Times;Serif"/>
          <w:b w:val="false"/>
          <w:i w:val="false"/>
          <w:caps w:val="false"/>
          <w:smallCaps w:val="false"/>
          <w:color w:val="0000FF"/>
          <w:sz w:val="20"/>
          <w:u w:val="single"/>
        </w:rPr>
        <w:t>www.sec.gov</w:t>
      </w:r>
      <w:r>
        <w:rPr>
          <w:rFonts w:ascii="Times New Roman;Times;Serif" w:hAnsi="Times New Roman;Times;Serif"/>
          <w:b w:val="false"/>
          <w:i w:val="false"/>
          <w:caps w:val="false"/>
          <w:smallCaps w:val="false"/>
          <w:sz w:val="20"/>
        </w:rPr>
        <w:t xml:space="preserve"> or from the underwriter for any such offering. Investors are advised to obtain a copy of the preliminary prospectus supplement and prospectus and to carefully review the information contained or incorporated by reference therein before making an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that documents transmitted by e-mail may be altered or changed during the process of transmission and none of Trinity Capital Inc., Keefe, Bruyette &amp; Woods, </w:t>
      </w:r>
      <w:r>
        <w:rPr>
          <w:rFonts w:ascii="Times New Roman;Times;Serif" w:hAnsi="Times New Roman;Times;Serif"/>
          <w:b w:val="false"/>
          <w:i/>
          <w:caps w:val="false"/>
          <w:smallCaps w:val="false"/>
          <w:sz w:val="20"/>
        </w:rPr>
        <w:t>A Stifel Company</w:t>
      </w:r>
      <w:r>
        <w:rPr>
          <w:rFonts w:ascii="Times New Roman;Times;Serif" w:hAnsi="Times New Roman;Times;Serif"/>
          <w:b w:val="false"/>
          <w:i w:val="false"/>
          <w:caps w:val="false"/>
          <w:smallCaps w:val="false"/>
          <w:sz w:val="20"/>
        </w:rPr>
        <w:t>, MUFG Securities Americas Inc. nor any of their respective affiliates accepts liability or responsibility for any alteration or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3377</Characters>
  <CharactersWithSpaces>3954</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