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Brown Steve Louis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TRINITY CAPITAL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N. 1ST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PHOENIX</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Trinity Capital Inc.</w:t>
              </w:r>
            </w:hyperlink>
            <w:r>
              <w:rPr/>
              <w:t xml:space="preserve"> [ </w:t>
            </w:r>
            <w:r>
              <w:rPr>
                <w:rFonts w:ascii="Times;serif" w:hAnsi="Times;serif"/>
                <w:color w:val="0000FF"/>
                <w:sz w:val="24"/>
                <w:shd w:fill="FFFFFF" w:val="clear"/>
              </w:rPr>
              <w:t>TRIN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9"/>
        <w:gridCol w:w="901"/>
        <w:gridCol w:w="771"/>
        <w:gridCol w:w="598"/>
        <w:gridCol w:w="347"/>
        <w:gridCol w:w="928"/>
        <w:gridCol w:w="453"/>
        <w:gridCol w:w="752"/>
        <w:gridCol w:w="1160"/>
        <w:gridCol w:w="99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663</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17.75</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361,392</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13,591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17.79</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347,801</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940,745</w:t>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Steven and Patricia Brown Family Trust, dated March 19, 1998</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to satisfy the reporting person's tax obligations in connection with vesting of restricted shares on September 14, 2026. Transaction exempt from Section 16(b) pursuant to Rule 16b-3.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withheld to satisfy the reporting person's tax obligations in connection with vesting of restricted shares on September 15, 2026. Transaction exempt from Section 16(b) pursuant to Rule 16b-3.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Sarah Stanton is signing on behalf of Mr. S. Brown pursuant to the power of attorney dated June 2, 2021, which was previously filed with the Securities and Exchange Commission as an exhibit to the Form 4 Mr. S. Brown filed on June 2, 2021.</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Stanton, on behalf of Steven L. Brown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6793" TargetMode="External"/><Relationship Id="rId5" Type="http://schemas.openxmlformats.org/officeDocument/2006/relationships/hyperlink" Target="http://www.sec.gov/cgi-bin/browse-edgar?action=getcompany&amp;CIK=00017861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704</Words>
  <Characters>3767</Characters>
  <CharactersWithSpaces>4388</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