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Stanton Sarah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TRINITY CAPITAL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N. 1ST STREET, SUITE 302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Trinity Capital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TRIN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GC, CCO, and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755"/>
        <w:gridCol w:w="1161"/>
        <w:gridCol w:w="997"/>
        <w:gridCol w:w="10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3,310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17.79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129,118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51,639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Heilman Stanton Family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to satisfy the reporting person's tax obligations in connection with vesting of restricted shares on September 15, 2026. Transaction exempt from Section 16(b) pursuant to Rule 16b-3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Sarah Stanton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8358" TargetMode="External"/><Relationship Id="rId5" Type="http://schemas.openxmlformats.org/officeDocument/2006/relationships/hyperlink" Target="http://www.sec.gov/cgi-bin/browse-edgar?action=getcompany&amp;CIK=00017861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608</Words>
  <Characters>3295</Characters>
  <CharactersWithSpaces>3831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