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12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424(b)(2)</w:t>
        <w:br/>
        <w:t>Registration No. 333-289495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br/>
        <w:t>(To Prospectus dated August 11, 2025)</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48025" cy="798195"/>
                    </a:xfrm>
                    <a:prstGeom prst="rect">
                      <a:avLst/>
                    </a:prstGeom>
                  </pic:spPr>
                </pic:pic>
              </a:graphicData>
            </a:graphic>
          </wp:inline>
        </w:drawing>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7.000% Notes due 2031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$300,000,000 in aggregate principal amount of 7.000% notes due 2031, which we refer to as the Notes. The Notes will mature on May 21, 2031. We will pay interest on the Notes on May 21 and November 21 of each year, beginning November 21, 2026. We may redeem the Notes in whole or in part at any time or from time to time at the redemption price discussed under the caption “</w:t>
      </w:r>
      <w:r>
        <w:rPr>
          <w:rFonts w:ascii="Times New Roman PS Std;serif" w:hAnsi="Times New Roman PS Std;serif"/>
          <w:b w:val="false"/>
          <w:i/>
          <w:caps w:val="false"/>
          <w:smallCaps w:val="false"/>
          <w:sz w:val="20"/>
        </w:rPr>
        <w:t>Description of the Notes — Optional Redemption</w:t>
      </w:r>
      <w:r>
        <w:rPr>
          <w:rFonts w:ascii="Times New Roman PS Std;serif" w:hAnsi="Times New Roman PS Std;serif"/>
          <w:b w:val="false"/>
          <w:i w:val="false"/>
          <w:caps w:val="false"/>
          <w:smallCaps w:val="false"/>
          <w:sz w:val="20"/>
        </w:rPr>
        <w:t>”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will be our direct unsecured obligations and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outstanding and future unsecured unsubordinated indebtedness issued by us.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investor-backed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1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the Notes involves risks, including the risk of leverage, that are described in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S-11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page 6 of the accompanying prospectus and in our most recent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our subsequent Quarterly Reports on Form 10-Q, as well as any of our subsequent filings with the U.S. Securities and Exchange Commission (“SEC”).</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supplement, the accompanying prospectus, any related free writing prospectus and the documents incorporated by reference herein and therein contain important information you should know before investing in the Notes. Please read this prospectus supplement, the accompanying prospectus, any related free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writing prospectus and the documents incorporated by reference herein and therein before investing and keep it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www.trinitycapital.com.</w:t>
      </w:r>
      <w:r>
        <w:rPr>
          <w:rFonts w:ascii="Times New Roman PS Std;serif" w:hAnsi="Times New Roman PS Std;serif"/>
          <w:b w:val="false"/>
          <w:i w:val="false"/>
          <w:caps w:val="false"/>
          <w:smallCaps w:val="false"/>
          <w:sz w:val="20"/>
        </w:rPr>
        <w:t xml:space="preserve"> Information on our website is not incorporated into or a part of this prospectus supplement, the accompanying prospectus or any related free writing prospectus. The SEC also maintains a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ARE NOT DEPOSITS OR OTHER OBLIGATIONS OF A BANK AND ARE NOT INSURED BY THE FEDERAL DEPOSIT INSURANCE CORPORATION OR ANY OTHER GOVERNMENT AGENCY.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supplement is truthful or complete. Any representation to the contrary is a criminal offense.</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w:t>
      </w:r>
    </w:p>
    <w:tbl>
      <w:tblPr>
        <w:tblW w:w="7662" w:type="dxa"/>
        <w:jc w:val="left"/>
        <w:tblInd w:w="0" w:type="dxa"/>
        <w:tblLayout w:type="fixed"/>
        <w:tblCellMar>
          <w:top w:w="0" w:type="dxa"/>
          <w:left w:w="0" w:type="dxa"/>
          <w:bottom w:w="0" w:type="dxa"/>
          <w:right w:w="0" w:type="dxa"/>
        </w:tblCellMar>
      </w:tblPr>
      <w:tblGrid>
        <w:gridCol w:w="4621"/>
        <w:gridCol w:w="146"/>
        <w:gridCol w:w="766"/>
        <w:gridCol w:w="286"/>
        <w:gridCol w:w="146"/>
        <w:gridCol w:w="286"/>
        <w:gridCol w:w="1411"/>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99.181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297,543,000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(underwriting discounts) paid by us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294,543,000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public offering price set forth above does not include accrued interest, if any. Interest on the Notes will accrue from May 21, 2026 and must be paid by the purchaser if the Notes are delivered after May 21,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estimate that we will incur offering expenses of approximately $650,000. For more information, see “Underwriting”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the Notes in book-entry form only through The Depository Trust Company for the accounts of its participants, including Euroclear Bank S.A./N.V., as operator of the Euroclear System, and Clearstream Banking S.A., will be made on or about May 21, 2026.</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tbl>
      <w:tblPr>
        <w:tblW w:w="10105" w:type="dxa"/>
        <w:jc w:val="left"/>
        <w:tblInd w:w="0" w:type="dxa"/>
        <w:tblLayout w:type="fixed"/>
        <w:tblCellMar>
          <w:top w:w="0" w:type="dxa"/>
          <w:left w:w="0" w:type="dxa"/>
          <w:bottom w:w="0" w:type="dxa"/>
          <w:right w:w="0" w:type="dxa"/>
        </w:tblCellMar>
      </w:tblPr>
      <w:tblGrid>
        <w:gridCol w:w="4891"/>
        <w:gridCol w:w="146"/>
        <w:gridCol w:w="2371"/>
        <w:gridCol w:w="146"/>
        <w:gridCol w:w="2551"/>
      </w:tblGrid>
      <w:tr>
        <w:trPr/>
        <w:tc>
          <w:tcPr>
            <w:tcW w:w="10105"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Co-Managers</w:t>
            </w:r>
          </w:p>
        </w:tc>
      </w:tr>
      <w:tr>
        <w:trPr/>
        <w:tc>
          <w:tcPr>
            <w:tcW w:w="489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Hancock Whitney Investment Services, Inc.</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RBC Capital Markets</w:t>
            </w:r>
          </w:p>
        </w:tc>
        <w:tc>
          <w:tcPr>
            <w:tcW w:w="146" w:type="dxa"/>
            <w:tcBorders/>
            <w:vAlign w:val="bottom"/>
          </w:tcPr>
          <w:p>
            <w:pPr>
              <w:pStyle w:val="TableContents"/>
              <w:bidi w:val="0"/>
              <w:spacing w:before="0" w:after="283"/>
              <w:jc w:val="left"/>
              <w:rPr/>
            </w:pPr>
            <w:r>
              <w:rPr/>
              <w:t> </w:t>
            </w:r>
          </w:p>
        </w:tc>
        <w:tc>
          <w:tcPr>
            <w:tcW w:w="255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Zions Capital Markets</w:t>
            </w:r>
          </w:p>
        </w:tc>
      </w:tr>
    </w:tbl>
    <w:tbl>
      <w:tblPr>
        <w:tblW w:w="10205" w:type="dxa"/>
        <w:jc w:val="left"/>
        <w:tblInd w:w="0" w:type="dxa"/>
        <w:tblLayout w:type="fixed"/>
        <w:tblCellMar>
          <w:top w:w="0" w:type="dxa"/>
          <w:left w:w="0" w:type="dxa"/>
          <w:bottom w:w="0" w:type="dxa"/>
          <w:right w:w="0" w:type="dxa"/>
        </w:tblCellMar>
      </w:tblPr>
      <w:tblGrid>
        <w:gridCol w:w="2407"/>
        <w:gridCol w:w="146"/>
        <w:gridCol w:w="3055"/>
        <w:gridCol w:w="146"/>
        <w:gridCol w:w="2159"/>
        <w:gridCol w:w="146"/>
        <w:gridCol w:w="2146"/>
      </w:tblGrid>
      <w:tr>
        <w:trPr/>
        <w:tc>
          <w:tcPr>
            <w:tcW w:w="2407"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Citizens Capital Markets</w:t>
            </w:r>
          </w:p>
        </w:tc>
        <w:tc>
          <w:tcPr>
            <w:tcW w:w="146" w:type="dxa"/>
            <w:tcBorders/>
          </w:tcPr>
          <w:p>
            <w:pPr>
              <w:pStyle w:val="TableContents"/>
              <w:bidi w:val="0"/>
              <w:spacing w:before="0" w:after="283"/>
              <w:jc w:val="left"/>
              <w:rPr/>
            </w:pPr>
            <w:r>
              <w:rPr/>
              <w:t> </w:t>
            </w:r>
          </w:p>
        </w:tc>
        <w:tc>
          <w:tcPr>
            <w:tcW w:w="3055"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Ladenburg Thalmann &amp; Co. Inc.</w:t>
            </w:r>
          </w:p>
        </w:tc>
        <w:tc>
          <w:tcPr>
            <w:tcW w:w="146" w:type="dxa"/>
            <w:tcBorders/>
          </w:tcPr>
          <w:p>
            <w:pPr>
              <w:pStyle w:val="TableContents"/>
              <w:bidi w:val="0"/>
              <w:spacing w:before="0" w:after="283"/>
              <w:jc w:val="left"/>
              <w:rPr/>
            </w:pPr>
            <w:r>
              <w:rPr/>
              <w:t> </w:t>
            </w:r>
          </w:p>
        </w:tc>
        <w:tc>
          <w:tcPr>
            <w:tcW w:w="2159"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Lucid Capital Markets</w:t>
            </w:r>
          </w:p>
        </w:tc>
        <w:tc>
          <w:tcPr>
            <w:tcW w:w="146" w:type="dxa"/>
            <w:tcBorders/>
          </w:tcPr>
          <w:p>
            <w:pPr>
              <w:pStyle w:val="TableContents"/>
              <w:bidi w:val="0"/>
              <w:spacing w:before="0" w:after="283"/>
              <w:jc w:val="left"/>
              <w:rPr/>
            </w:pPr>
            <w:r>
              <w:rPr/>
              <w:t> </w:t>
            </w:r>
          </w:p>
        </w:tc>
        <w:tc>
          <w:tcPr>
            <w:tcW w:w="2146" w:type="dxa"/>
            <w:tcBorders/>
          </w:tcPr>
          <w:p>
            <w:pPr>
              <w:pStyle w:val="TableContents"/>
              <w:keepNext w:val="tru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Oppenheimer &amp; Co.</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supplement is May 19,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7078" w:type="dxa"/>
        <w:jc w:val="left"/>
        <w:tblInd w:w="0" w:type="dxa"/>
        <w:tblLayout w:type="fixed"/>
        <w:tblCellMar>
          <w:top w:w="0" w:type="dxa"/>
          <w:left w:w="0" w:type="dxa"/>
          <w:bottom w:w="0" w:type="dxa"/>
          <w:right w:w="0" w:type="dxa"/>
        </w:tblCellMar>
      </w:tblPr>
      <w:tblGrid>
        <w:gridCol w:w="6211"/>
        <w:gridCol w:w="146"/>
        <w:gridCol w:w="721"/>
      </w:tblGrid>
      <w:tr>
        <w:trPr/>
        <w:tc>
          <w:tcPr>
            <w:tcW w:w="6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01">
              <w:r>
                <w:rPr>
                  <w:rStyle w:val="InternetLink"/>
                  <w:rFonts w:ascii="Times New Roman PS Std;serif" w:hAnsi="Times New Roman PS Std;serif"/>
                  <w:b w:val="false"/>
                  <w:i w:val="false"/>
                  <w:caps w:val="false"/>
                  <w:smallCaps w:val="false"/>
                  <w:sz w:val="20"/>
                </w:rPr>
                <w:t xml:space="preserve">ABOUT THIS PROSPECTUS SUPPLEMENT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02">
              <w:r>
                <w:rPr>
                  <w:rStyle w:val="InternetLink"/>
                  <w:rFonts w:ascii="Times New Roman PS Std;serif" w:hAnsi="Times New Roman PS Std;serif"/>
                  <w:b w:val="false"/>
                  <w:i w:val="false"/>
                  <w:caps w:val="false"/>
                  <w:smallCaps w:val="false"/>
                  <w:sz w:val="20"/>
                </w:rPr>
                <w:t xml:space="preserve">PROSPECTUS SUPPLEMENT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03">
              <w:r>
                <w:rPr>
                  <w:rStyle w:val="InternetLink"/>
                  <w:rFonts w:ascii="Times New Roman PS Std;serif" w:hAnsi="Times New Roman PS Std;serif"/>
                  <w:b w:val="false"/>
                  <w:i w:val="false"/>
                  <w:caps w:val="false"/>
                  <w:smallCaps w:val="false"/>
                  <w:sz w:val="20"/>
                </w:rPr>
                <w:t xml:space="preserve">SPECIFIC TERMS OF THE NOTES AND 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S-11</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S-16</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07">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S-19</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08">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S-20</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0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S-21</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10">
              <w:r>
                <w:rPr>
                  <w:rStyle w:val="InternetLink"/>
                  <w:rFonts w:ascii="Times New Roman PS Std;serif" w:hAnsi="Times New Roman PS Std;serif"/>
                  <w:b w:val="false"/>
                  <w:i w:val="false"/>
                  <w:caps w:val="false"/>
                  <w:smallCaps w:val="false"/>
                  <w:sz w:val="20"/>
                </w:rPr>
                <w:t xml:space="preserve">DESCRIPTION OF THE NOTES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S-25</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11">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997012">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S-48</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99701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S-49</w:t>
            </w:r>
          </w:p>
        </w:tc>
      </w:tr>
    </w:tbl>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ISSUANCE OF OPTIONS, WARRANTS OR SECURITIES TO SUBSCRIBE FOR OR CONVERTIBLE INTO SHARES OF OUR COMMON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083" w:type="dxa"/>
        <w:jc w:val="left"/>
        <w:tblInd w:w="0" w:type="dxa"/>
        <w:tblLayout w:type="fixed"/>
        <w:tblCellMar>
          <w:top w:w="0" w:type="dxa"/>
          <w:left w:w="0" w:type="dxa"/>
          <w:bottom w:w="0" w:type="dxa"/>
          <w:right w:w="0" w:type="dxa"/>
        </w:tblCellMar>
      </w:tblPr>
      <w:tblGrid>
        <w:gridCol w:w="7216"/>
        <w:gridCol w:w="146"/>
        <w:gridCol w:w="721"/>
      </w:tblGrid>
      <w:tr>
        <w:trPr/>
        <w:tc>
          <w:tcPr>
            <w:tcW w:w="72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7216" w:type="dxa"/>
            <w:tcBorders/>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7216" w:type="dxa"/>
            <w:tcBorders/>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7216" w:type="dxa"/>
            <w:tcBorders/>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7216" w:type="dxa"/>
            <w:tcBorders/>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7001"/>
      <w:bookmarkEnd w:id="1"/>
      <w:r>
        <w:rPr>
          <w:rFonts w:ascii="Times New Roman PS Std;serif" w:hAnsi="Times New Roman PS Std;serif"/>
          <w:b/>
          <w:i w:val="false"/>
          <w:caps w:val="false"/>
          <w:smallCaps w:val="false"/>
          <w:sz w:val="20"/>
        </w:rPr>
        <w:t xml:space="preserve">ABOUT THIS PROSPECTUS SUPPLEMENT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supplement, the accompanying prospectus, any free writing prospectus related to the offering of the Notes and the documents incorporated by reference herein and therein. Neither we nor the underwriters have authorized anyone to give you any information other than in this prospectus supplement, the accompanying prospectus, any free writing prospectus related to this offering, or any information that we have incorporated by reference herein or therein and we take no responsibility for any other information that others may give you. We are not making an offer to sell these securities in any jurisdiction where the offer or sale is not permitted. You should assume that the information appearing in this prospectus supplement, the accompanying prospectus and any free writing prospectus related to this offering is accurate only as of their respective dates. Our business, financial condition, results of operations and prospects may have changed since that date. We will update these documents to reflect material changes only as required by law. This prospectus supplement supersedes the accompanying prospectus to the extent it contains information different from or additional to the information in that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in two parts. The first part is this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Please carefully read this prospectus supplement and the accompanying prospectus, together with any documents incorporated by reference herein and therein, any exhibits and the additional information described under the headings “</w:t>
      </w:r>
      <w:r>
        <w:rPr>
          <w:rFonts w:ascii="Times New Roman PS Std;serif" w:hAnsi="Times New Roman PS Std;serif"/>
          <w:b w:val="false"/>
          <w:i/>
          <w:caps w:val="false"/>
          <w:smallCaps w:val="false"/>
          <w:sz w:val="20"/>
        </w:rPr>
        <w:t>Incorporation of Certain Information By Reference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Prospectus Summary</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 supplement and the accompanying prospectus,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 and the documents incorporated by reference herein and therein before you make an investment decision.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includes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in the section titled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997002"/>
      <w:bookmarkEnd w:id="2"/>
      <w:r>
        <w:rPr>
          <w:rFonts w:ascii="Times New Roman PS Std;serif" w:hAnsi="Times New Roman PS Std;serif"/>
          <w:b/>
          <w:i w:val="false"/>
          <w:caps w:val="false"/>
          <w:smallCaps w:val="false"/>
          <w:sz w:val="20"/>
          <w:bdr w:val="single" w:sz="8" w:space="10" w:color="000000"/>
        </w:rPr>
        <w:t xml:space="preserve">PROSPECTUS SUPPLEMENT 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 this prospectus supplement and the accompanying prospectus and the information incorporated by reference herein and therein. It is not complete and may not contain all of the information that you may want to consider before investing in the Notes. You should carefully read the entire prospectus supplement, the accompanying prospectus, any related free writing prospectus and the other information incorporated by reference herein and therein before investing in the Notes. Throughout this prospectus supplement, except where the context suggests otherwise, the terms “we,” “us,” “our,” “Trinity” and “the Company,” refer collectively to the Legacy Funds (as defined below) and their respective subsidiaries, general partners, managers and managing members, as applicable prior to the consummation of the Formation Transactions (as defined below) and Trinity Capital Inc. after the consummation of the Formation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specialty lending company providing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36 months, and our equipment financings generally begin amortizing immediately. Our loans and equipment financings generally have a total term of up to 60 months. These investments are typically secured by a blanket first position lien, a specific asset lien on mission-critical assets and/or a blanket second position lien. We may also make a limited number of direct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and equity-related investments in conjunction with our debt investments. We target growth-oriented companies that have recently issued 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significantly reduces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 in the accompanying prospectus for additional information. For example, as a BDC, at least 70% of our assets must be assets of the type listed in Section 55(a) of the 1940 Act, as described in the accompanying 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 Team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BDC employing 106 dedicated professionals as of December 31, 2025, including 66 investment, origination and portfolio management professionals, all of whom have experience working on investment and financing transactions for growth- and early-stage companies. All of our employees are located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management team has prior management experience, including with early-stage tech startups, and employs a highly systematized investment approach. Our senior management team, led by Kyle Brown, comprises the majority of the senior management team that managed Trinity Capital Investment, LLC, Trinity Capital Fund II, L.P., Trinity Capital Fund III, L.P., Trinity Capital Fund IV, L.P., and Trinity Sidecar Income Fund, L.P. (collectively, the “Legacy Funds”) and sourced all of their respective assets, including their respective investment portfolios, and we believe is well positioned to take advantage of potential investment opportunities available in the marketplace.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Kyle Brown, our Chief Executive Officer, President and Chief Investment Officer, has been with Trinity since 2015 and is responsible for managing Trinity’s investment activities. He has historically managed relationships with potential investment partners, including venture capital firms and technology bank lenders, allowing us to nearly triple the number of investment opportunities reviewed by our senior management after Mr. Brown joined the senior management of Trinity.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Steven L. Brown, our founder, is our Executive Chairman and has over 25 years of experience in venture equity and venture debt investing and working with growth-stage companies.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Gerald Harder, our Chief Operating Officer, has been with Trinity since 2016, and we believe his prior 30 years of engineering and operations experience adds significant value in guiding the Company’s operations team and steward strategy.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Ron Kundich, our Chief Credit Officer, is responsible for overseeing the Company’s lending, underwriting and credit processes. He has over 25 years of experience supporting venture-backed companies.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Michael Testa, our Chief Financial Officer and Treasurer, has over 20 years of finance and accounting experience, having worked both at a credit-focused asset manager and a large global accounting firm.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All investment decisions are made by our investment committee (the “Investment Committee”), whose members consist of Steven L. Brown, Gerald Harder, Kyle Brown, Ron Kundich and a vertical market leader (on a rotating basis throughout the year). We consider these individuals to be our portfolio managers. The Investment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Committee approves proposed investments by majority consent in accordance with investment guidelines and procedures established by the Investment Committee. See “Management” and “Executive Compensation” in the accompanying prospectus for additional information regarding these individuals.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members of the Investment Committee have worked together in predecessor investment funds, including the Legacy Funds, and bring decades of combined experience investing in venture debt and venture capital and managing venture-backed start-ups and other public and private entities. As a result, the members of the Investment Committee have strong backgrounds in venture capital, private equity, investing, finance, operations, management and intellectual property, and have developed a strong working knowledge in these areas and a broad network of contacts. Combined, as of March 31, 2026, the members of the Investment Committee had over 75 years in aggregate of operating experience in various public and private companies, many of them venture-funded. As a group, they have managed through all aspects of the venture capital lifecycle, including participating in change of control transactions with venture-backed companies that they founded and/or served.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Potential Competitive Advantages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we are one of only a select group of specialty lenders that has our depth of knowledge, experience, and track record in lending to growth-oriented companies. Further, we are one of an even smaller subset of specialty lenders that offers both loans and equipment financings. Our other potential competitive advantages include: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In-house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engineering and operations expertise to evaluate growth-oriented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companies’ business products and plans.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Direct origination networks that benefit from relationships with venture banks, institutional equity investors and entrepreneurs built during the term of operations of the Legacy Funds, which began in 2008.</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dedicated staff of professionals covering credit origination and underwriting, as well as portfolio management functions.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proprietary credit rating system and regimented process for evaluating and underwriting prospective portfolio companies.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Scalable software platforms developed during the term of operations of the Legacy Funds, which support our underwriting processes and loan monitoring functions.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Market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an attractive market opportunity exists for providing debt and equipment financings to growth-oriented companies for the following reasons: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Growth-oriented companies have generally been underserved by traditional lending sources.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Unfulfilled demand exists for loans and equipment financings to growth-oriented companies due to the complexity of evaluating risk in these investments.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Debt investments with warrants are less dilutive than traditional equity financing and complement equity financing from venture capital and private equity funds.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Equity funding of growth-oriented companies, including venture capital backed companies, has increased steadily over the last 15 years, resulting in new lending and equipment financing opportunities.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annual venture debt market in the U.S. surpassed $25 billion for more than five consecutive years in 2025. We believe that the equipment financing market is even more fragmented, with the majority of equipment financing providers unable to fund investments for more than $10 million. We believe there are significant growth opportunities for us to expand our market share in the venture debt market and become a one-stop shop for loans and equipment financings for growth-oriented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Growth-Oriented Companies are Underserved by Traditional Lenders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many viable growth-oriented companies have been unable to obtain sufficient growth financing from traditional lenders, including financial services companies such as commercial banks and finance companies, because traditional lenders have continued to consolidate and have adopted a more risk-averse approach to lending. More importantly, we believe traditional lenders are typically unable to underwrite the risk associated with these companies effectively.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cash flow characteristics of many growth-oriented companies include significant research and development expenditures and high projected revenue growth, thus often making such companies difficult to evaluate from a credit perspective. In addition, the balance sheets of many of these companies often include a disproportionately large amount of intellectual property assets, which can be difficult to value. Finally, the speed of innovation in technology and rapid shifts in consumer demand and market share add to the difficulty in evaluating these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Due to the difficulties described above, we believe traditional lenders generally refrain from lending and/or providing equipment financing to growth-oriented companies, instead preferring the risk-reward profile of traditional fixed asset-based lending. We believe traditional lenders generally do not have flexible product offerings that meet the needs of growth-oriented companies. The financing products offered by traditional lenders typically impose restrictive covenants and conditions on borrowers, including limiting cash outflows and requiring a significant depository relationship to facilitate rapid liquidation.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Unfulfilled Demand for Loans and Equipment Financings to Growth-Oriented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Private capital in the form of loans and equipment financings from specialty finance companies continues to be an important source of funding for growth-oriented companies. We believe that the level of demand for loans and equipment financings is a function of the level of annual venture equity investment activity and can be as much as 20% to 30% of such investment activity. We believe this market is largely served by a handful of venture banks, with whom our products generally do not compete, and a relative few term lenders and lessors.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demand for loans and equipment financings to growth-oriented companies is currently underserved, given the high level of activity in venture capital equity market for the growth-oriented companies in which we invest. We believe certain venture lending companies have begun to focus on larger investment opportunities, potentially creating additional opportunities for us in the near term. Our senior management team has seen a significant increase in the number of potential investment opportunities over the last 15 years.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Debt Investments with Warrants Complement Equity Financing from Venture Capital and Private Equity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growth-oriented companies and their financial sponsors will continue to view debt, including loans and equipment financings, as an attractive source of capital because it augments the capital provided by venture capital and private equity funds. We believe that our debt investments, including loans and equipment financings, will provide access to growth capital that otherwise may only be available through incremental equity investments by new or existing equity investors. As such, we intend to provide portfolio companies and their financial sponsors with an opportunity to diversify their capital sources. Generally, we believe many growth-oriented companies target a portion of their capital to be debt and equipment financing in an attempt to minimize ownership dilution to existing investors and company founders. In addition, because growth-oriented companies generally reach a more mature stage prior to reaching a liquidity event, we believe our investments could provide the capital needed to grow or recapitalize during the extended growth period sometimes required prior to liquidity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regarding our market opportunity, see “Business” in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Philosophy, Strategy and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lend money in the form of term loans and equipment financings and, to a lesser extent, working capital loans to growth-oriented companies. Investors may receive returns from three sources — the loan’s interest payments or equipment financing payments and the associated contractual fees; the final principal payment; and, contingent upon a successful change of control or initial public offering, proceeds from the equity positions or contingent exit fees obtained at loan or equipment financing origination.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requirements under the 1940 Act, which require that we invest at least 70% of our total assets in qualifying assets, we may also engage in other lending activities by investing in assets that are not qualifying assets under the requirements of the 1940 Act, including asset-backed lending, which may constitute up to 30% of our total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good candidates for loans and equipment financings appear in all business sectors. We are not limited to investing in any particular industry or geographic area and seek to invest in under-financed segments of the private credit markets. We believe in diversification and do not intend to specialize in any one sector. Our portfolio companies are selected from a wide range of industries, technologies and geographic regions. Since we focus on investing in portfolio companies alongside venture capital firms and technology banks, we anticipate that most of our opportunities will come from sectors that those sources finance. See “Business” in the accompanying prospectus for additional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www.trinitycapital.com</w:t>
      </w:r>
      <w:r>
        <w:rPr>
          <w:rFonts w:ascii="Times New Roman PS Std;serif" w:hAnsi="Times New Roman PS Std;serif"/>
          <w:b w:val="false"/>
          <w:i w:val="false"/>
          <w:caps w:val="false"/>
          <w:smallCaps w:val="false"/>
          <w:sz w:val="20"/>
          <w:bdr w:val="single" w:sz="8" w:space="10" w:color="000000"/>
        </w:rPr>
        <w:t>. We make available, free of charge, on our website our proxy statement, annual report on Form 10-K, quarterly reports on Form 10-Q, current reports on Form 8-K and amendments to those reports as soon as reasonably practicable after we electronically file such material with, or furnish it to, the SEC. Information on our website is not incorporated into or a part of this prospectus supplement or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supplement and “Risk Factors” in the accompanying prospectus, in our Annual Report on Form 10-K for the fiscal year ended December 31, 2025 and in our Quarterly Report on Form 10-Q for the fiscal quarter ended March 31, 2026 for a detailed discussion of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997003"/>
      <w:bookmarkEnd w:id="3"/>
      <w:r>
        <w:rPr>
          <w:rFonts w:ascii="Times New Roman PS Std;serif" w:hAnsi="Times New Roman PS Std;serif"/>
          <w:b/>
          <w:i w:val="false"/>
          <w:caps w:val="false"/>
          <w:smallCaps w:val="false"/>
          <w:sz w:val="20"/>
          <w:bdr w:val="single" w:sz="8" w:space="10" w:color="000000"/>
        </w:rPr>
        <w:t xml:space="preserve">SPECIFIC TERMS OF THE NOTES AND THE OFFERING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section outlines certain legal and financial terms of the Notes. You should read this section together with the more detailed description of the Notes under the heading “Description of the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tbl>
      <w:tblPr>
        <w:tblW w:w="10205" w:type="dxa"/>
        <w:jc w:val="left"/>
        <w:tblInd w:w="0" w:type="dxa"/>
        <w:tblLayout w:type="fixed"/>
        <w:tblCellMar>
          <w:top w:w="0" w:type="dxa"/>
          <w:left w:w="0" w:type="dxa"/>
          <w:bottom w:w="0" w:type="dxa"/>
          <w:right w:w="0" w:type="dxa"/>
        </w:tblCellMar>
      </w:tblPr>
      <w:tblGrid>
        <w:gridCol w:w="1212"/>
        <w:gridCol w:w="146"/>
        <w:gridCol w:w="8847"/>
      </w:tblGrid>
      <w:tr>
        <w:trPr/>
        <w:tc>
          <w:tcPr>
            <w:tcW w:w="121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Trinity Capital Inc., a Maryland corporation</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of the Securities</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 Notes due 2031</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Aggregate Principal Amount Being Offered</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$300,000,000</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99.181% of the aggregate principal amount of Notes</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Yield to Maturity</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7.198%</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Date</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19, 2026</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Date</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2026</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Maturity Date</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2031</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 Dates</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21 and November 21, commencing November 21, 2026. If an interest payment date falls on a non-business day, the applicable interest payment will be made on the next business day and no additional interest will accrue as a result of such delayed payment.</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Regular Record Dates for Interest</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November 6 and May 6</w:t>
            </w:r>
          </w:p>
        </w:tc>
      </w:tr>
      <w:tr>
        <w:trPr/>
        <w:tc>
          <w:tcPr>
            <w:tcW w:w="121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Ranking of Notes</w:t>
            </w:r>
          </w:p>
        </w:tc>
        <w:tc>
          <w:tcPr>
            <w:tcW w:w="146" w:type="dxa"/>
            <w:tcBorders/>
          </w:tcPr>
          <w:p>
            <w:pPr>
              <w:pStyle w:val="TableContents"/>
              <w:bidi w:val="0"/>
              <w:spacing w:before="0" w:after="283"/>
              <w:jc w:val="left"/>
              <w:rPr/>
            </w:pPr>
            <w:r>
              <w:rPr/>
              <w:t> </w:t>
            </w:r>
          </w:p>
        </w:tc>
        <w:tc>
          <w:tcPr>
            <w:tcW w:w="884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and will rank:</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of our existing and future indebtedness or other obligations that are not so subordinated, or junior, including, without limitation, the 4.375% Notes due 2026 (the “August 2026 Notes”), of which $125.0 million in aggregate principal amount was outstanding as of May 13, 2026; the 4.25% Notes due 2026 (the “December 2026 Notes”), of which $75.0 million in aggregate principal amount was outstanding as of May 13, 2026; the 7.875% Notes due March 2029 (the “March 2029 Notes”), of which $142.2 million in aggregate principal amount was outstanding as of May 13, 2026; the 7.875% Notes due September 2029 (the “September 2029 Notes”), of which $122.2 million in aggregate principal amount was outstanding as of May 13, 2026; the Series A Senior Notes (the “Series A Notes”), of which $142.5 million in aggregate principal amount was outstanding as of May 13, 2026; and the 6.750% Notes due 2030 (the “July 2030 Notes” and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72"/>
        <w:gridCol w:w="146"/>
        <w:gridCol w:w="8587"/>
      </w:tblGrid>
      <w:tr>
        <w:trPr/>
        <w:tc>
          <w:tcPr>
            <w:tcW w:w="1472"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587" w:type="dxa"/>
            <w:tcBorders/>
          </w:tcPr>
          <w:p>
            <w:pPr>
              <w:pStyle w:val="TableContents"/>
              <w:keepNext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together with the August 2026 Notes, the December 2026 Notes, the March 2029 Notes, the September 2029 Notes and the Series A Notes, the “Existing Notes”), of which $125.0 million in aggregate principal amount was outstanding as of May 13, 2026. The aggregate principal amount outstanding under the Existing Notes as of May 13, 2026 was $731.9 million;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TrinCap Funding, LLC’s, our wholly owned subsidiary (“TCF”), credit facility with KeyBank, National Association (as amended, the “KeyBank Credit Facility”), of which approximately $417.7 million was outstanding as of May 13, 2026, and which borrowings are secured by the assets of our wholly-owned subsidiary, TCF, and borrowings under TrinCap Term Funding, LLC’s, our wholly owned subsidiary (“TF3”), secured term loan facility with KeyBank (as amended, the “KeyBank Secured Term Loan Facility”), of which approximately $200.0 million was outstanding as of May 13, 2026, and which borrowings are secured by the assets of our wholly-owned subsidiary, TF3.</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our asset coverage ratio was approximately 185.8%.</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13, 2026, on a consolidated basis, we had approximately $1,349.6 million of total indebtedness outstanding, $417.7 million of which was secured indebtedness of our wholly-owned subsidiary, TCF, under the KeyBank Credit Facility, $200.0 million of which was secured indebtedness of our wholly-owned subsidiary, TF3, under the KeyBank Secured Term Loan Facility, and $731.9 million of which was unsecured indebtedness. Such unsecured indebtedness reflects the outstanding aggregate principal amount of the Existing Notes.</w:t>
            </w:r>
          </w:p>
        </w:tc>
      </w:tr>
      <w:tr>
        <w:trPr/>
        <w:tc>
          <w:tcPr>
            <w:tcW w:w="14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Denominations</w:t>
            </w:r>
          </w:p>
        </w:tc>
        <w:tc>
          <w:tcPr>
            <w:tcW w:w="146" w:type="dxa"/>
            <w:tcBorders/>
          </w:tcPr>
          <w:p>
            <w:pPr>
              <w:pStyle w:val="TableContents"/>
              <w:bidi w:val="0"/>
              <w:spacing w:before="0" w:after="283"/>
              <w:jc w:val="left"/>
              <w:rPr/>
            </w:pPr>
            <w:r>
              <w:rPr/>
              <w:t> </w:t>
            </w:r>
          </w:p>
        </w:tc>
        <w:tc>
          <w:tcPr>
            <w:tcW w:w="85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in denominations of $2,000 and integral multiples of $1,000 in excess thereof.</w:t>
            </w:r>
          </w:p>
        </w:tc>
      </w:tr>
      <w:tr>
        <w:trPr/>
        <w:tc>
          <w:tcPr>
            <w:tcW w:w="147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Optional Redemption </w:t>
            </w:r>
          </w:p>
        </w:tc>
        <w:tc>
          <w:tcPr>
            <w:tcW w:w="146" w:type="dxa"/>
            <w:tcBorders/>
          </w:tcPr>
          <w:p>
            <w:pPr>
              <w:pStyle w:val="TableContents"/>
              <w:bidi w:val="0"/>
              <w:spacing w:before="0" w:after="283"/>
              <w:jc w:val="left"/>
              <w:rPr/>
            </w:pPr>
            <w:r>
              <w:rPr/>
              <w:t> </w:t>
            </w:r>
          </w:p>
        </w:tc>
        <w:tc>
          <w:tcPr>
            <w:tcW w:w="85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April 21, 2031 (one month prior to the maturity date of the Notes) (the “Par Call Date”), we may redeem the Notes at our option, in whole or in part, at any time and from time to time, at a redemption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 or (2) 100% of the principal amount of the Notes to be redeemed, plus, in either case accrued and unpaid interest thereon to the redemption date of the Notes.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47"/>
        <w:gridCol w:w="146"/>
        <w:gridCol w:w="8612"/>
      </w:tblGrid>
      <w:tr>
        <w:trPr/>
        <w:tc>
          <w:tcPr>
            <w:tcW w:w="1447"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at any time on or after the Par Call Date, we may redeem some or all of the Notes at any time, or from time to time, at a redemption price equal to 100% of the principal amount of the Notes to be redeemed plus, in each case, accrued and unpaid interest, if any, to, but excluding, the redemption date of the Notes.</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Sinking Fund</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subject to any sinking fund. A sinking fund is a reserve fund accumulated over a period of time for the retirement of debt.</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 to Purchase upon a Change of Control Repurchase Event</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Defeasance</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tax law or we obtain an Internal Revenue Service ruling described herein, the Notes will be subject to legal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Legal Defeasance</w:t>
            </w:r>
            <w:r>
              <w:rPr>
                <w:rFonts w:ascii="Times New Roman PS Std;serif" w:hAnsi="Times New Roman PS Std;serif"/>
                <w:b w:val="false"/>
                <w:i w:val="false"/>
                <w:caps w:val="false"/>
                <w:smallCaps w:val="false"/>
                <w:sz w:val="20"/>
              </w:rPr>
              <w:t>”, we can legally release ourselves from all payment and other obligations on the Notes.</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Covenant Defeasance</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subject to covenant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Covenant Defeasance</w:t>
            </w:r>
            <w:r>
              <w:rPr>
                <w:rFonts w:ascii="Times New Roman PS Std;serif" w:hAnsi="Times New Roman PS Std;serif"/>
                <w:b w:val="false"/>
                <w:i w:val="false"/>
                <w:caps w:val="false"/>
                <w:smallCaps w:val="false"/>
                <w:sz w:val="20"/>
              </w:rPr>
              <w:t>”, we will be released from some of the restrictive covenants in the indenture.</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Notes</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represented by global securities that will be deposited and registered in the name of The Depository Trust Company, or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tc>
      </w:tr>
      <w:tr>
        <w:trPr/>
        <w:tc>
          <w:tcPr>
            <w:tcW w:w="14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Trustee, Paying Agent and Registrar</w:t>
            </w:r>
          </w:p>
        </w:tc>
        <w:tc>
          <w:tcPr>
            <w:tcW w:w="146" w:type="dxa"/>
            <w:tcBorders/>
          </w:tcPr>
          <w:p>
            <w:pPr>
              <w:pStyle w:val="TableContents"/>
              <w:bidi w:val="0"/>
              <w:spacing w:before="0" w:after="283"/>
              <w:jc w:val="left"/>
              <w:rPr/>
            </w:pPr>
            <w:r>
              <w:rPr/>
              <w:t> </w:t>
            </w:r>
          </w:p>
        </w:tc>
        <w:tc>
          <w:tcPr>
            <w:tcW w:w="86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7"/>
        <w:gridCol w:w="146"/>
        <w:gridCol w:w="8812"/>
      </w:tblGrid>
      <w:tr>
        <w:trPr/>
        <w:tc>
          <w:tcPr>
            <w:tcW w:w="124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Events of Default</w:t>
            </w:r>
          </w:p>
        </w:tc>
        <w:tc>
          <w:tcPr>
            <w:tcW w:w="146" w:type="dxa"/>
            <w:tcBorders/>
          </w:tcPr>
          <w:p>
            <w:pPr>
              <w:pStyle w:val="TableContents"/>
              <w:bidi w:val="0"/>
              <w:spacing w:before="0" w:after="283"/>
              <w:jc w:val="left"/>
              <w:rPr/>
            </w:pPr>
            <w:r>
              <w:rPr/>
              <w:t> </w:t>
            </w:r>
          </w:p>
        </w:tc>
        <w:tc>
          <w:tcPr>
            <w:tcW w:w="881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(as described herein under “</w:t>
            </w:r>
            <w:r>
              <w:rPr>
                <w:rFonts w:ascii="Times New Roman PS Std;serif" w:hAnsi="Times New Roman PS Std;serif"/>
                <w:b w:val="false"/>
                <w:i/>
                <w:caps w:val="false"/>
                <w:smallCaps w:val="false"/>
                <w:sz w:val="20"/>
              </w:rPr>
              <w:t>Description of the Notes</w:t>
            </w:r>
            <w:r>
              <w:rPr>
                <w:rFonts w:ascii="Times New Roman PS Std;serif" w:hAnsi="Times New Roman PS Std;serif"/>
                <w:b w:val="false"/>
                <w:i w:val="false"/>
                <w:caps w:val="false"/>
                <w:smallCaps w:val="false"/>
                <w:sz w:val="20"/>
              </w:rPr>
              <w:t>”)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us.</w:t>
            </w:r>
          </w:p>
        </w:tc>
      </w:tr>
      <w:tr>
        <w:trPr/>
        <w:tc>
          <w:tcPr>
            <w:tcW w:w="12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Covenants</w:t>
            </w:r>
          </w:p>
        </w:tc>
        <w:tc>
          <w:tcPr>
            <w:tcW w:w="146" w:type="dxa"/>
            <w:tcBorders/>
          </w:tcPr>
          <w:p>
            <w:pPr>
              <w:pStyle w:val="TableContents"/>
              <w:bidi w:val="0"/>
              <w:spacing w:before="0" w:after="283"/>
              <w:jc w:val="left"/>
              <w:rPr/>
            </w:pPr>
            <w:r>
              <w:rPr/>
              <w:t> </w:t>
            </w:r>
          </w:p>
        </w:tc>
        <w:tc>
          <w:tcPr>
            <w:tcW w:w="88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under “Description of the Notes — Covenants,” the following covenants shall apply to the Notes: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 or GAAP.</w:t>
            </w:r>
          </w:p>
        </w:tc>
      </w:tr>
      <w:tr>
        <w:trPr/>
        <w:tc>
          <w:tcPr>
            <w:tcW w:w="12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Established Trading Market</w:t>
            </w:r>
          </w:p>
        </w:tc>
        <w:tc>
          <w:tcPr>
            <w:tcW w:w="146" w:type="dxa"/>
            <w:tcBorders/>
          </w:tcPr>
          <w:p>
            <w:pPr>
              <w:pStyle w:val="TableContents"/>
              <w:bidi w:val="0"/>
              <w:spacing w:before="0" w:after="283"/>
              <w:jc w:val="left"/>
              <w:rPr/>
            </w:pPr>
            <w:r>
              <w:rPr/>
              <w:t> </w:t>
            </w:r>
          </w:p>
        </w:tc>
        <w:tc>
          <w:tcPr>
            <w:tcW w:w="88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 Although certain of the underwriters have informed us that they currently intend to make a market in the Notes, as permitted by applicable laws and regulations, they are not obligated to do so and may discontinue any such market making activities at any time without notice. See “Underwriting” in this prospectus supplement. Accordingly, we cannot assure you that a liquid market for the Notes will develop or be maintained.</w:t>
            </w:r>
          </w:p>
        </w:tc>
      </w:tr>
      <w:tr>
        <w:trPr/>
        <w:tc>
          <w:tcPr>
            <w:tcW w:w="124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81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$293.89 million, based on an offering price of 98.181% per Note, after deducting the underwriting discounts, and estimated offering expenses of approximately $650,000 payable by us. Such estimate is subject to change and no assurances can be given that actual expenses will not exceed such amount. We expect to use the net proceeds from this offering to pay down a portion of our existing indebtedness outstanding under the KeyBank Credit Facility. See “Use of Proceeds” in this prospectus supplement.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40"/>
        <w:gridCol w:w="146"/>
        <w:gridCol w:w="8519"/>
      </w:tblGrid>
      <w:tr>
        <w:trPr/>
        <w:tc>
          <w:tcPr>
            <w:tcW w:w="15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Clearance and Settlement Procedures</w:t>
            </w:r>
          </w:p>
        </w:tc>
        <w:tc>
          <w:tcPr>
            <w:tcW w:w="146" w:type="dxa"/>
            <w:tcBorders/>
          </w:tcPr>
          <w:p>
            <w:pPr>
              <w:pStyle w:val="TableContents"/>
              <w:bidi w:val="0"/>
              <w:spacing w:before="0" w:after="283"/>
              <w:jc w:val="left"/>
              <w:rPr/>
            </w:pPr>
            <w:r>
              <w:rPr/>
              <w:t> </w:t>
            </w:r>
          </w:p>
        </w:tc>
        <w:tc>
          <w:tcPr>
            <w:tcW w:w="851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or liability for the performance by DTC or its participants or indirect participants of their respective obligations under the rules and procedures governing their operations.</w:t>
            </w:r>
          </w:p>
        </w:tc>
      </w:tr>
      <w:tr>
        <w:trPr/>
        <w:tc>
          <w:tcPr>
            <w:tcW w:w="154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tcPr>
          <w:p>
            <w:pPr>
              <w:pStyle w:val="TableContents"/>
              <w:bidi w:val="0"/>
              <w:spacing w:before="0" w:after="283"/>
              <w:jc w:val="left"/>
              <w:rPr/>
            </w:pPr>
            <w:r>
              <w:rPr/>
              <w:t> </w:t>
            </w:r>
          </w:p>
        </w:tc>
        <w:tc>
          <w:tcPr>
            <w:tcW w:w="851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and the indenture will be governed by and construed in accordance with the laws of the State of New York.</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7004"/>
      <w:bookmarkEnd w:id="4"/>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the Notes involves a number of significant risks. Before you invest in the Notes, you should be aware of various risks associated with the investment, including those described in the section titled “Risk Factors” in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year ended December 31, 2025 and our Quarterly Report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quarter ended March 31, 2026, as well as in subsequent filings with the SEC, which are incorporated by reference into this prospectus supplement and the accompanying prospectus in their entirety, together with other information in this prospectus supplement, the accompanying prospectus, any document incorporated by reference herein or therein, and/or any free writing prospectus we may authorize in connection with this offering. You should carefully consider these risk factors, together with all of the other information included or incorporated by reference in this prospectus supplement and the accompanying prospectus, before you decide whether to make an investment in the Notes. The risks set out in this prospectus supplement, the accompanying prospectus, any document incorporated by reference herein or therein, and any free writing prospectus we may authorize in connection with this offering are not the only risks we face. Additional risks and uncertainties not presently known to us or not presently deemed material by us may also impair our operations and performance. If any of the following events or those described in such documents occur, our business, financial condition and results of operations could be materially and adversely affected. In such case, you may lose all or part of your investment. Please also read carefully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 this prospectus supplement and refer to “Incorporation of Certain Information by Reference” in this prospectus supplement for the documents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unsecured and therefore are effectively subordinated to any secured indebtedness we have currently incurred or may incur in the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not secured by any of our assets or any of the assets of our subsidiaries. As a result, the Notes are effectively subordinated, or junior, to any secured indebtedness or other obligations we or our subsidiaries have currently incurred, including the KeyBank Credit Facility and KeyBank Secured Term Loan Facility,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May 13 2026, on a consolidated basis, we had approximately $1,349.6 million of total indebtedness outstanding, $417.7 million of which was secured indebtedness under the KeyBank Credit Facility through our wholly-owned subsidiary, TCF, and $200.0 million of which was secured indebtedness under the KeyBank Secured Term Loan Facility through our wholly-owned subsidiary, TF3, each of which will be effectively and/or structurally senior to the Notes. Secured indebtedness, including the indebtedness under the KeyBank Credit Facility and the KeyBank Secured Term Loan Facility, is effectively senior to the Notes to the extent of the value of such assets securing such indebtedness. In addition, as of May 13, 2026, we had $731.9 million in aggregate principal amount of the Existing Notes, which are unsecured and will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structurally subordinated to the indebtedness and other liabilities of our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obligations exclusively of Trinity Capital Inc. and not of any of our subsidiaries. None of our subsidiaries are a guarantor of the Notes, and the Notes are not required to be guaranteed by any subsidiaries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the KeyBank Credit Facility and the KeyBank Secured Term Loan Facility and all existing and future indebtedness and other obligations (including trade payables) incurred by any of our subsidiaries, financing vehicles or similar facilities and any subsidiaries, financing vehicles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similar facilities that we may in the future acquire or establish. As of May 13, 2026, through our wholly-owned subsidiary, TCF, we had approximately $417.7 million of indebtedness outstanding under the KeyBank Credit Facility, and through our wholly-owned subsidiary, TF3, we had approximately $200.0 million of indebtedness outstanding under the KeyBank Secured Term Loan Facility; in addition, our subsidiaries may incur additional indebtedness in the future, all of which would be structurally senior to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debt could have significant consequences on our future operations,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it more difficult for us to meet our payment and other obligations under the Notes and our other outstanding indebtedness;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resulting in an event of default if we fail to comply with the financial and other restrictive covenants contained in our debt agreements, which event of default could result in substantially all of our debt becoming immediately due and payable;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reducing the availability of our cash flow to fund investments, acquisitions and other general corporate purposes, and limiting our ability to obtain additional financing for these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subjecting us to the risk of increased sensitivity to interest rate increases on our indebtedness with variable interest rates;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and increasing our vulnerability to, changes in our business, the industry in which we operate and the general economy.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above-listed factors could have an adverse effect on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sufficient cash flow from operations or that future borrowings will be available to us under our financing arrangements or otherwise in an amount sufficient to enable us to pay our indebtedness, including the Notes, or to fund our other liquidity needs. We may need to refinance all or a portion of our indebtedness, including the Notes, on or before the scheduled maturity. The conditions of the financial markets and prevailing interest rates have fluctuated in the past and are likely to fluctuate in the future.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 including our payment obligations under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downgrade, suspension or withdrawal of the credit rating assigned by a rating agency to us or the Notes, if any, or change in the debt markets, could cause the liquidity or market value of the Notes to decline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 These credit ratings, however, may not reflect the potential impact of risks related to the structure or marketing of the Notes, market conditions generally or other factors discussed herein that could impact the market value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rating agencies base their ratings on such material and information, and such of their own investigations, studies and assumptions, as they deem appropriate. Any such credit ratings should be evaluated independently from similar ratings of other securities or companies.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any credit ratings assigned to us and/or the Notes, if any, will remain for any given period of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indenture offers limited protection to holders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securities or otherwise incur additional indebtedness or other obligations, including (1) any indebtedness or other obligations that would be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to the Notes, (2) any indebtedness or other obligations that would be secured and therefore rank effectively senior in right of payment to the Notes to the extent of the value of the assets securing such indebtedness, (3) indebtedness or other obligations of ours that are guaranteed by one or more of our subsidiaries and which therefore are structurally senior to the Notes and (4) securities, indebtedness or other obligations incurred by our subsidiaries that would be senior to our equity interests in our subsidiaries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dividends on, or purchase or redeem or make any payments in respect of, capital stock or other securities ranking junior in right of payment to the Notes, including subordinated indebtedness;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assets (other than certain limited restrictions on our ability to consolidate, merge or sell all or substantially all of our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liens (including liens on the shares of our subsidiaries) or enter into sale and leaseback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transactions with affiliates;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investments;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restrictions on the payment of dividends or other amounts to us from our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 to the extent such a trading market develops for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optional redemption provision may materially adversely affect your return on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default on our obligations to pay our other indebtedness, we may not be able to make payments on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default under the agreements governing our indebtedness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value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current indebtedness or other debt we may incur in the future could elect to terminate their commitments, cease making further loans and institute foreclosure proceedings against our assets, and we could be forced into bankruptcy or liquidation.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repay debt, lenders having secured obligations, including KeyBank under the KeyBank Credit Facility or the KeyBank Secured Term Loan Facility, could proceed against the collateral securing the debt. Because the Indenture governing the Notes, the Existing Notes, the KeyBank Credit Facility and the KeyBank Secured Term Loan Facility each have and any future debt may have, customary cross-default and/or cross-acceleration provisions, if the indebtedness thereunder or under any future credit facility is accelerated, we may be unable to repay or finance the amounts due.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repurchase the Notes upon a Change of Control Repurchase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Before making any such repurchase of Notes, we would also have to comply with certain requirements under the KeyBank Credit Facility and KeyBank Secured Term Loan Facility, as applicable, to the extent such requirements remain in effect at such time, or otherwise obtain consent from the lenders under the KeyBank Credit Facility and KeyBank Secured Term Loan Facility.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the Notes — Offer to Repurchase Upon a Change of Control Repurchase Event” in this prospectus supplement.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increase in market interest rates could result in a decrease in the market value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condition of the financial markets and prevailing interest rates have fluctuated in the past and are likely to fluctuate in the future, which could have an adverse effect on the market prices, if any, or values of the Notes. In general, as market interest rates rise, debt securities bearing interest at fixed rates of interest decline in value. Consequently, if an investor purchases Notes bearing interest at fixed rates and market interest rates increase, the market prices, if any, or values of those Notes may decline. We cannot predict the future level of market interest rates.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 active trading market does not develop for the Notes, you may not be able to resell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the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informed us that they currently intend to make a market in the Notes after the offering, but they are not obligated to do so. Such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the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Proposed changes to U.S. tax laws could result in adverse consequences for non-U.S. persons owning or disposing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U.S. federal income taxation are constantly under review by persons involved in the legislative process and by the Internal Revenue Service and the U.S. Treasury. Changes to the tax law, which may have retroactive application, could have a material adverse effect on the Company and/or any holder of Notes. Prospective investors are urged to consult with their own tax advisors before making an investment in the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7005"/>
      <w:bookmarkEnd w:id="5"/>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in this prospectus supplement, the accompanying prospectus, any related free writing prospectus and any documents we may incorporate by reference herein and therein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supplement, the accompanying prospectus, any related free writing prospectus and any documents we may incorporate by reference herein and therein, including the following factors,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international conflicts, prolonged governmental shutdowns,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may be other risks that are otherwise described from time to time in the reports that we file with the SEC. Any forward-looking statements in this prospectus supplement, the accompanying prospectus, any related free writing prospectus and any documents we may incorporate by reference herein and therein should be considered in light of various important factors, including the risks and uncertainties listed above, as well as others. All forward-looking statements are necessarily only estimates of future results, and there can be no assurance that actual results will not differ materially from expectations, and, therefore, you are cautioned not to place undue reliance on such statements. Any forward-looking statements are qualified in their entirety by reference to the risk factors discussed throughout this prospectus supplement, the accompanying prospectus, any related free writing prospectus and any documents we may incorporate by reference herein. Further, any forward-looking statement speaks only as of the date on which it is made in this prospectus supplement, the accompanying prospectus,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except as may be required by law. Because we are an investment company, the forward-looking statements and projections contained in this prospectus supplement, the accompanying prospectus, and any documents we may incorporate by reference herein are excluded from the safe harbor protections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7006"/>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$293.89 million, based on an offering price of 98.181% per Note, after deducting the underwriting discounts, and estimated offering expenses of approximately $650,000 payable by us. Such estimate is subject to change and no assurances can be given that actual expenses will not exceed such amount.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the net proceeds from this offering to pay down a portion of our existing indebtedness outstanding under the KeyBank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KeyBank Credit Facility includes a commitment of $690.0 million from KeyBank, National Association and other banks. The KeyBank Credit Facility includes a three-year revolving period and a two-year amortization period and matures on July 27, 2029, unless extended. Borrowings under the KeyBank Credit Facility generally bear interest at a rate equal to Adjusted Term SOFR plus 2.85% to 3.25%, subject to the number of eligible loans in the collateral pool. The KeyBank Credit Facility provides for a variable advance rate of up to 62% on eligible first lien loans and up to 47% on eligible second lien loans. As of May 13, 2026, we had approximately $417.7 million of indebtedness outstanding under the KeyBank Credit Facility through our wholly-owned subsidiary, TCF.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reborrow under the KeyBank Credit Facility to make investments in accordance with our investment objective and investment strategy and for general corporate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underwriters are lenders under our KeyBank Credit Facility. Accordingly, affiliates of certain of the underwriters may receive more than 5% of the proceeds of this offering to the extent the proceeds are used to pay down a portion of the outstanding indebtedness under our financing arrangements. See “Underwriting — Other Relationships” in this prospectus supplement for additional information regarding potential payments to certain underwriters or their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7007"/>
      <w:bookmarkEnd w:id="7"/>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capitalization as of March 31,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as adjusted basis to reflect the assumed sale of $300,000,000 of aggregate principal amount of Notes in this offering at a public offering price of 98.181% per Note after deducting the underwriting discounts, and estimated offering expenses of approximately $650,000 payable by us and application of the net proceeds as discussed in more detail under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table together with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and our most recent balance sheet included in our Quarterly Report on Form 10-Q for the fiscal quarter ended March 31, 2026, which is incorporated by reference herein.</w:t>
      </w:r>
    </w:p>
    <w:tbl>
      <w:tblPr>
        <w:tblW w:w="10205" w:type="dxa"/>
        <w:jc w:val="left"/>
        <w:tblInd w:w="0" w:type="dxa"/>
        <w:tblLayout w:type="fixed"/>
        <w:tblCellMar>
          <w:top w:w="0" w:type="dxa"/>
          <w:left w:w="0" w:type="dxa"/>
          <w:bottom w:w="0" w:type="dxa"/>
          <w:right w:w="0" w:type="dxa"/>
        </w:tblCellMar>
      </w:tblPr>
      <w:tblGrid>
        <w:gridCol w:w="6222"/>
        <w:gridCol w:w="146"/>
        <w:gridCol w:w="301"/>
        <w:gridCol w:w="1261"/>
        <w:gridCol w:w="241"/>
        <w:gridCol w:w="146"/>
        <w:gridCol w:w="301"/>
        <w:gridCol w:w="1336"/>
        <w:gridCol w:w="251"/>
      </w:tblGrid>
      <w:tr>
        <w:trPr/>
        <w:tc>
          <w:tcPr>
            <w:tcW w:w="62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 except per share data)</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March 31, </w:t>
              <w:br/>
              <w:t xml:space="preserve">2026 </w:t>
              <w:br/>
              <w:t>(Unaudited)</w:t>
            </w:r>
          </w:p>
        </w:tc>
        <w:tc>
          <w:tcPr>
            <w:tcW w:w="146" w:type="dxa"/>
            <w:tcBorders/>
            <w:vAlign w:val="bottom"/>
          </w:tcPr>
          <w:p>
            <w:pPr>
              <w:pStyle w:val="TableContents"/>
              <w:bidi w:val="0"/>
              <w:spacing w:before="0" w:after="283"/>
              <w:jc w:val="left"/>
              <w:rPr/>
            </w:pPr>
            <w:r>
              <w:rPr/>
              <w:t> </w:t>
            </w:r>
          </w:p>
        </w:tc>
        <w:tc>
          <w:tcPr>
            <w:tcW w:w="18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Adjusted </w:t>
              <w:br/>
              <w:t xml:space="preserve">for this </w:t>
              <w:br/>
              <w:t>Offering</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at fair value (cost of $2,468,380)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2,483,554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2,483,554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19,631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18,074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credit facility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29,110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2,555,832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2,555,832 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Notes, net of $9,273 of unamortized deferred financing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722,608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722,608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KeyBank Secured Term Loan Facility, net of $1,333 of unamortized deferred financing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198,667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133,607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offered hereby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293,893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deposits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accrued liabilities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38,568 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1,389,577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1,389,577 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$0.001 per share; 200,000,000 shares authorized; 87,903,645 shares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 capital in excess of par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1,185,441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earnings/(accumulated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(19,274</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1,166,255 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Net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2,555,832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2,555,832 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 Value Per Share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13.27 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7008"/>
      <w:bookmarkEnd w:id="8"/>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fiscal quarter ended March 31, 2026 and fiscal years ended December 31, 2025, 2024, 2023, 2022, 2021 and 2020 is located in “Part I, Item 1. Consolidated Financial Statements — Notes to Consolidated Financial Statements (unaudited)” of our Quarterly Report on Form 10-Q for the quarter ended March 31, 2026 (filed on May 6, 2026) and in “Part II, Item 8. Financial Statements and Supplementary Data — Notes to Consolidated Financial Statements” of our Annual Report on Form 10-K for the fiscal year ended December 31, 2025 (filed on February 25, 2026), which are incorporated by reference herein. We had no senior securities outstanding as of December 31, 2019. The report of our independent registered public accounting firm, Ernst &amp; Young LLP, on such senior securities table is included in our Annual Report on Form 10-K for the fiscal year ended December 31, 2025 (filed on February 25, 2026)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7009"/>
      <w:bookmarkEnd w:id="9"/>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the material U.S. federal income tax considerations (and, in the case of a non-U.S. holder (as defined below), the material U.S. federal estate tax consequences) applicable to an investment in the Notes. This summary deals only with Notes that are purchased for cash in this offering for a price equal to the “issue price” of the Notes (i.e., the first price at which a substantial amount of the Notes is sold for money to investors, other than to bond houses, brokers or similar persons or organizations acting in the capacity of underwriters, placement agents or wholesalers). This summary does not purport to be a complete description of the income and estate tax considerations applicable to such an investment. The discussion is based upon the Code, U.S. Treasury Regulations (“Treasury Regulations”), and administrative and judicial interpretations, each as of the date of this prospectus supplement and all of which are subject to change, potentially with retroactive effect. No assurance can be given that the U.S. Internal Revenue Service (the “IRS”) would not assert, or that a court would not sustain, a position contrary to any of the tax aspects set forth below. You should consult your own tax advisor with respect to tax considerations that pertain to your acquisition, ownership and disposition of our Notes. For a summary of the U.S. federal income tax considerations applicable to us regarding our election to be treated as a RIC, please refer to “Certain U.S. Federal Income Tax Considerations — Taxation as a Regulated Investment Company” and “Failure to Qualify as a RIC” in the accompanying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deals only with Notes held as capital assets within the meaning of Section 1221 of the Code (generally, property held for investment purposes) and does not purport to deal with persons in special tax situations, such as financial institutions, insurance companies, regulated investment companies,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accrual method taxpayers for U.S. federal income tax purposes required to accelerate the recognition of any item of gross income with respect to the Notes as a result of such income being recognized on an applicable financial statement, persons subject to special rates of withholding or other U.S. taxation, or U.S. holders (as defined below) whose functional currency (as defined in Section 985 of the Code) is not the U.S. dollar. In addition, this discussion does not deal with any tax consequences other than U.S. federal income tax consequences (and, in the case of a non-U.S. holder, U.S. federal estate tax consequences). If you are considering acquiring the Notes, you should consult your own tax advisor concerning the application of the U.S. federal income and estate tax laws to you in light of your particular situation, as well as any consequences to you of purchasing, owning and disposing of the Notes under the laws of any other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“U.S. holder” means a beneficial owner of a Note that is, for U.S. federal income tax purposes, (i) an individual citizen or resident of the United States, (ii) a corporation or other entity treated as a corporation for U.S. federal income tax purposes, created or organized in or under the laws of the United States or of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“non-U.S. holder” means a beneficial owner of a Note that is neither a U.S. holder nor a partnership (including an entity or arrangement treated as a partnership for U.S. federal income tax purposes). An individual may, subject to certain exceptions, be subject to treatment as a resident alien, as opposed to a non-resident alien, for U.S. federal income tax purposes by, among other ways, being physically present in the U.S. both (i) on at least 31 days during a calendar year, and (ii) for an aggregate period of at least 183 days during a three-year period ending in the current calendar year, counting for such purposes all of the days present in the current calendar year, one-third of the days present in the immediate preceding year, and one-sixth of the days present in the second preceding year. Resident aliens are subject to U.S. federal income tax as if they were U.S. citizens.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the persons holding interests in such partnerships, should consult their own tax advisors as to the consequences of investing in the Notes in their individual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Note 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payments or accruals of interest on a Note generally will be taxable to a U.S. holder as ordinary interest income at the time they are received (actually or constructively) or accrued, in accordance with the U.S. holder’s regular method of tax accounting. If the issue price of a Note is less than its stated principal amount by more than a specified de minimis amount, the Note will be considered as having been issued for U.S. federal income tax purposes with original issue discount (“OID”) in an amount equal to each excess. If the Note is issued with OID, a U.S. holder generally will be required to include the OID in gross income as ordinary interest income as the OID accrues, in advance of the receipt of cash attributable to that income and regardless of such holder’s regular method of tax accounting. Such OID will be included in gross income for each day during each taxable year in which a Note is held by a U.S. holder using a constant yield to maturity method that reflects the compounding of interest. This means that a U.S. holder will be required to include increasingly greater amounts of OID over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amounts representing accrued and unpaid interest, which are treated as ordinary income to the extent not previously included in income) and the U.S. holder’s adjusted tax basis in the Note. A U.S. holder’s adjusted tax basis in a Note generally will equal the amount paid for the Note. Capital gain or loss generally will be long-term capital gain or loss if the U.S. holder’s holding period in the Note was more than one year. Long-term capital gains generally are taxed at reduced rates for individuals and certain other non-corporate U.S. holders. The distinction between capital gain and loss and ordinary income and loss also is important for purposes of, among other things, the limitations imposed on a U.S. holder’s ability to offset capital losses against ordinary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tax of 3.8% will be imposed on certain “net investment income” (or “undistributed net investment income,” in the case of estates and trusts) received by U.S. holders with modified adjusted gross income above certain threshold amounts. “Net investment income” as defined for this purpose generally includes interest payments on and gain recognized from the sale, redemption, retirement or other taxable disposition of the Notes. U.S. holders should consult their own tax advisors regarding the effect, if any, of this tax on their ownership and disposition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provided below under “Information Reporting and Backup Withholding” and “FATCA,” a non-U.S. holder generally will not be subject to U.S. federal income or withholding taxes on payments of interest on a Note provided that (i) the interest is not effectively connected with the conduct by the non-U.S. holder of a trade or business within the United States, (ii) the non-U.S. holder is not a controlled foreign corporation that is treated as related to the Company through stock ownership, (iii) the non-U.S. holder is not a bank receiving interest described in Section 881(c)(3)(A) of the Code, (iv) the non-U.S. holder does not own (directly or indirectly, actually or constructively) 10% or more of the total combined voting power of all classes of stock of the Company, and (v)(A) the non-U.S. holder provides the applicable withholding agent with a valid certification on an IRS Form W-8BEN, Form W-8BEN-E, or other applicable U.S. nonresident withholding tax certification form, certifying its non-U.S. holder status, or (B) a securities clearing organization, bank, or other financial institution that holds customer securities in the ordinary course of its trade or business (i.e., a “financial institution”) and holds a Note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non-U.S. holder’s behalf certifies to the applicable withholding agent under penalties of perjury that either it or another financial institution has received the required statement from the non-U.S. holder certifying that it is a non-U.S. person and furnishes the applicable withholding agent with a copy of the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that is not exempt from tax under these rules generally will be subject to U.S. federal income tax withholding on payments of interest on the Notes at a rate of 30% unless (i) the income is effectively connected with the conduct of a U.S. trade or business, so long as the non-U.S. holder has provided the applicable withholding agent with an IRS Form W-8ECI (or substantially similar substitute U.S. nonresident withholding tax certification form) stating that the interest on the Notes is effectively connected with the non-U.S. holder’s conduct of a trade or business in the U.S. in which case the interest will be subject to U.S. federal income tax on a net income basis as applicable to U.S. holders generally (unless an applicable income tax treaty provides otherwise), or (ii) an applicable income tax treaty or provision in the Code provides for a lower rate of, or exemption from, withholding tax, so long as the non-U.S. holder has provided the applicable withholding agent with an IRS Form W-8BEN or Form W-8BEN-E (or other applicable U.S. nonresident withholding tax certification form) claiming such lower rate of, or exemption from, withholding tax under such income tax treaty.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updated periodically. Additionally, a non-U.S. holder who is claiming the benefits of an income tax treaty may be required to obtain a U.S. taxpayer identification number and provide certain documentary evidence issued by a non-U.S. governmental authority in order to prove residence in a foreign country.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non-U.S. holder that is a corporation and that receives income that is effectively connected with the conduct of a U.S. trade or business, such income may also be subject to an additional branch profits tax at a 30% rate. The branch profits tax may not apply (or may apply at a reduced rate) if the non-U.S. holder is a qualified resident of a country with which the United States has an income tax treaty.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non-U.S. holder will not be subject to U.S. federal income or withholding taxes on any amount that constitutes capital gain upon the sale, exchange, redemption, retirement or other taxable disposition of a Note, provided that the gain is not effectively connected with the conduct of a trade or business in the United States by the non-U.S. holder. Non-U.S. holders should consult their own tax advisors with regard to whether taxes will be imposed on capital gain in their individual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(other than an “exempt recipient,” including a corporation and certain other persons who, when required, demonstrate their exempt status) may be subject to backup withholding at a rate of 24% on, and to information reporting requirements with respect to, payments of principal and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apply to payments of interest on your Notes, unless you have provided to the applicable withholding agent the required certification that you are not a U.S. person or you otherwise establish an exemption, and the applicable withholding agent does not have actual knowledge or reason to know that you are a U.S. person.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and, depending on the circumstances, backup withholding will apply to payment to you of the proceeds of a sale or other disposition (including a retirement or redemption) of the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U.S. federal income tax provided the required information is timely furnished to the IRS.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FATCA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provisions of the Code, commonly known as the Foreign Account Tax Compliance Act (“FATCA”), generally impose a withholding tax of 30% on certain payments to certain foreign entities (including financial intermediaries) unless various U.S. information reporting and diligence requirements (that are in addition to the requirement to deliver an applicable U.S. nonresident withholding tax certification form (e.g., IRS Form W-8BEN), as discussed above) and certain other requirements have been satisfied. FATCA withholding generally applies to payments of interest (“withholdable payments”), including interest on the notes, to certain non-U.S. entities (including, in some circumstances, where such an entity is acting as an intermediary) that fail to comply with certain certification, identification, withholding and information reporting requirements imposed by FATCA. FATCA withholding taxes generally apply to all withholdable payments without regard to whether the beneficial owner of the payment would otherwise be entitled to an exemption from withholding taxes pursuant to an applicable income tax treaty with the U.S. or under U.S. domestic law. If FATCA withholding taxes are imposed with respect to any payments of interest or proceeds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to enable the applicable withholding agent to determine whether withholding is required. Persons located in jurisdictions that have entered into an intergovernmental agreement with the U.S. to implement FATCA may be subject to different rules. FATCA withholding would have applied to payments of gross proceeds from a sale or other disposition (including a retirement or redemption) of the Notes; however, under proposed Treasury Regulations that may be relied upon pending finalization, the withholding tax on gross proceeds would be eliminated and, consequently, FATCA withholding on gross proceeds is not expected to apply. Non-U.S. holders, and U.S. holders that expect to hold the Notes through non-U.S. entities, should consult their own tax advisors regarding the effect, if any, of these withholding and reporting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7010"/>
      <w:bookmarkEnd w:id="10"/>
      <w:r>
        <w:rPr>
          <w:rFonts w:ascii="Times New Roman PS Std;serif" w:hAnsi="Times New Roman PS Std;serif"/>
          <w:b/>
          <w:i w:val="false"/>
          <w:caps w:val="false"/>
          <w:smallCaps w:val="false"/>
          <w:sz w:val="20"/>
        </w:rPr>
        <w:t xml:space="preserve">DESCRIPTION OF THE NOTES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under the base indenture dated January 16, 2020, between us and U.S. Bank Trust Company, National Association, as trustee (the “trustee”), as supplemented by an eighth supplemental indenture to be dated as of the settlement date for the Notes. As used in this section, all references to the indenture mean the base indenture as supplemented by the eighth supplemental indenture. The terms of the Notes include those expressly set forth in the indenture and those made part of the indenture by reference to the Trust Indenture Act of 1939, as amended (the “TIA”).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our direct, general unsecured, unsubordinated obligations;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initially be issued in an aggregate principal amount of $300,000,000;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mature on May 21, 2031, unless earlier redeemed or repurchased, as discussed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bear cash interest from May 21, 2026 at an annual rate of 7.000% payable semi-annually in arrears on May 21 and November 21 of each year, beginning on November 21,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redemption at our option as described herein under “— Optional Redemption”;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repurchase by us at the option of the holders following a Change of Control Repurchase Event (as defined below under “— Offer to Repurchase Upon a Change of Control Repurchase Event”), at a repurchase price equal to 100% of the principal amount of the Notes to be repurchased, plus accrued and unpaid interest to, but excluding, the date of repurchase;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issued in denominations of $2,000 and integral multiples of $1,000 in excess thereof;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represented by one or more registered Notes in global form, but in certain limited circumstances may be represented by Notes in definitive form. See “— Book-Entry, Settlement and Clearance”.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that may be issued by us or our subsidiaries under the indenture or otherwise but does contain a covenant regarding our asset coverage that would have to be satisfied at the time of incurrence of additional indebtedness. See “— Covenants — Other Covenants”. The indenture does not contain any financial covenants and does not restrict us from paying dividends or issuing or repurchasing our other securities. Other than restrictions described under “— Offer to Repurchase Upon a Change of Control Repurchase Event” and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without the consent of the holders,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list the Notes on any securities exchange or any automated dealer quotation system.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the Notes; Paying Agent and Registrar; Transfer and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provided, however, that, in the case of notes that are not in global form, at our option payment of interest may be made by check mailed to the address of the person entitled thereto as such address shall appear in the security register.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or the trustee may require a holder to pay a sum sufficient to cover any transfer tax or other similar governmental charge required by law or permitted by the indenture.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holder of a Note will be treated as its owner for all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bear cash interest at a rate of 7.000% per year until maturity. Interest on the Notes will accrue from May 21, 2026 or from the most recent date on which interest has been paid or duly provided for. Interest will be payable semiannually in arrears on May 21 and November 21 of each year, beginning on November 21,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will be paid to the person in whose name the Notes are registered at 5:00 p.m. New York City time (the “close of business”) on May 6 or November 6 (whether or not a business day), as the case may be, immediately preceding the relevant interest payment date. Interest on the Notes will be computed on the basis of a 360-day year composed of twelve 30-day months.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will have no obligation to calculate or verify the calculation of the accrued and unpaid interest payable on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Ranking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that will rank: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pari</w:t>
      </w:r>
      <w:r>
        <w:rPr>
          <w:rFonts w:ascii="Times New Roman PS Std;serif" w:hAnsi="Times New Roman PS Std;serif"/>
          <w:b w:val="false"/>
          <w:i w:val="false"/>
          <w:caps w:val="false"/>
          <w:smallCaps w:val="false"/>
          <w:sz w:val="20"/>
        </w:rPr>
        <w:t xml:space="preserve"> passu, or equal, in right of payment with all of our existing and future indebtedness or other obligations that are not so subordinated, or junior, including, without limitation, the $731.9 million in aggregate principal amount of the Existing Notes as of May 13,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the KeyBank Credit Facility, of which approximately $417.7 million was outstanding as of May 13, 2026 and are secured by the assets of our wholly-owned subsidiary, TCF, and borrowings under the KeyBank Secured Term Loan Facility, of which approximately $200.0 million was outstanding as of May 13, 2026 and are secured by the assets of our wholly-owned subsidiary, TF3.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13, 2026, on a consolidated basis, we had approximately $1,349.6 million of total indebtedness outstanding, $417.7 million of which was secured indebtedness of our wholly-owned subsidiary, TCF, under the KeyBank Credit Facility, $200.0 million of which was secured indebtedness of our wholly-owned subsidiary, TF3, under the KeyBank Secured Term Loan Facility, and $731.9 million of which was unsecured indebtedness. Such unsecured indebtedness reflects the outstanding aggregate principal amount of the Existing Notes. See “Capitalization”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Optional 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April 21, 2031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the principal amount of the Notes to be redeemed,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 in either case, accrued and unpaid interest thereon to the redemption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choose to redeem any of the Notes, we will deliver a notice of redemption to holders of the Notes not less than 10 nor more than 60 days before the redemption date. Any exercise of our option to redeem the Notes will be done in compliance with the 1940 Act. If we are redeeming less than all of the Notes, the particular Notes to be redeemed will be selected by the trustee on a pro rata basis to the extent practicable, or, if a pro rata basis is not practicable for any reason, by lot or in such other manner as the trustee shall deem fair and appropriate, and in any case in accordance with the applicable procedures of DTC and in accordance with the 1940 Act as directed by the Company; provided,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the redemption price in connection with the redemption of the Notes, on any redemption date, the following terms have the meanings set forth below:</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Par Call Date” means April 21, 2031 (one month prior to the maturity date of the Notes).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Treasury Rate” means, with respect to any redemption date, the yield determined by us in accordance with the following two paragraphs.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 to Repurchase Upon a Change of Control Repurchase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Change of Control Repurchase Event occurs, unless we have exercised our right to redeem the Notes in full, we will make an offer to each holder of the Notes to repurchase all or any part (in minimum denominations of $2,000 and integral multiples of $1,000 principal amount) of that holder’s Notes at a repurchase price in cash equal to 100% of the aggregate principal amount of Notes repurchased plus any accrued and unpaid interest on the Notes repurchased to, but not including,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Change of Control Repurchase Event payment date, subject to extension if necessary to comply with the provisions of the 1940 Act, we will, to the extent lawful: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 for payment all Notes or portions of Notes properly tendered pursuant to our offer;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deposit with the paying agent an amount equal to the aggregate purchase price in respect of all Notes or portions of Notes properly tendered;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deliver or cause to be delivered to the trustee the Notes properly accepted, together with an officers’ certificate stating the aggregate principal amount of Notes being purchased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paying agent will promptly remit to each holder of Notes properly tendered the purchase price for the Notes, and upon receipt of a company order, the trustee will promptly authenticate and mail (or cause to be transferred by book-entry) to each holder a new Note equal in principal amount to any unpurchased portion of any Notes surrendered; provided that each new Note will be in a minimum principal amount of $2,000 or an integral multiple of $1,000 in excess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“Management’s Discussion and Analysis of Financial Condition and Results of Operations — Financial Condition, Liquidity and Capital Resources” in our Quarterly Report on Form 10-Q for the quarter ended March 31, 2026, which is incorporated by reference herein, for a general discussion of our indebtedness. Before making any such repurchase of Notes, we would also have to comply with certain requirements under the KeyBank Credit Facility and the KeyBank Secured Term Loan Facility, to the extent such requirements remain in effect at such time, or otherwise obtain consent from the lenders under the KeyBank Credit Facility and the KeyBank Secured Term Loan Facility, as applicable. Our future debt instruments may contain similar restrictions and provisions. If the holders of the Notes exercise their right to require us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 — Risks Relating to the Notes — We may not be able to repurchase the Notes upon a Change of Control Repurchase Event”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Notes: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Control (and thus shall not be deemed a Below Investment Grade Rating Event for purposes of the definition of Change of Control Repurchase Event hereunder) if the Rating Agency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means the occurrence of any of the following: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provided that, for the avoidance of doubt, a pledge of assets pursuant to any secured debt instrument of the Company or its Controlled Subsidiaries shall not be deemed to be any such sale, lease, transfer, conveyance or disposition;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approval by the Company’s stockholders of any plan or proposal relating to the liquidation or dissolution of the Company.</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Repurchase Event” means the occurrence of a Change of Control and a Below Investment Grade Rating Event.</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Investment Grade” means a rating of Baa3 or better by Moody’s (or its equivalent under any successor rating categories of Moody’s), (or if such Rating Agency ceases to rate the Notes for reasons outside of our control, the equivalent investment grade credit rating from any Rating Agency selected by us as a replacement Rating Agency).</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Moody’s” means Moody’s Investors Service or any successor thereto.</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Permitted Holders” means (i) us or (ii) one or more of our Controlled Subsidiaries.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Rating Agency” means: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Moody’s;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Moody’s ceases to rate the Notes or fails to make a rating of the Notes publicly available for reasons outside of our control, a “nationally recognized statistical rating organization” as defined in Section (3)(a)(62) of the Exchange Act selected by us as a replacement agency for Moody’s.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in the base indenture, the following covenants shall apply to the Notes.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Consolidation or Sale of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will provide that we will not merge or consolidate with or into any other person (other than a merger of a wholly 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 owned subsidiary of the Company) in any one transaction or series of related transactions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our covenants hereunder (as to which the trustee is entitled to rely exclusively on officers’ certificates).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Notes issued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Notes without your specific approval. The following is a list of those types of changes: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holders of outstanding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modify or amend the indenture;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waive compliance with certain provisions of the indenture or to waive certain defaults;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events of default. We also do not need any approval to make any change that affects only Notes to be issued under the indenture after the change takes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Notes would require the following approval: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the Notes, it must be approved by the holders of a majority in principal amount of the Notes.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the securities issued under the same indenture, it must be approved by the holders of a majority in aggregate principal amount of all of the securities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the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considered outstanding, and therefore not eligible to vote, if we have deposited or set aside in trust money for their payment or redemption. The Notes will also not be eligible to vote if they have been fully defeased as described later under “— Defeasance — Legal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Notes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following is an event of default: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default in the payment of any interest upon any Notes when due and payable and the default continues for a period of 30 days;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default in the payment of the principal of (or premium, if any, on) any Note when it becomes due and payable at its maturity, including upon any redemption date or required repurchase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default by us or any of our significant subsidiaries, as defined in Article 1, Rule 1-02 of Regulation S-X under the Exchange Act (but excluding any subsidiary which is (a) a non-recourse or limited recourse subsidiary, (b) a bankruptcy remote special purpose vehicle or (c) not consolidated with the Company for purposes of GAAP), after giving effect to any applicable grace periods and any applicable extensions,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certain events of bankruptcy, insolvency, or reorganization involving us occur and remain undischarged or unstayed for a period of 60 consecutive days.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holder of Notes will have any right to institute any proceeding, judicial or otherwise, with respect to the indenture, or for the appointment of a receiver or trustee, or for any other remedy under the indenture, unless: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holder has previously given written notice to the trustee of a continuing event of default with respect to the Notes;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holders of not less than 25% in principal amount of the outstanding Notes shall have made written request to the trustee to institute proceedings in respect of such event of default;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such holder or holders have offered to the trustee security and/or indemnity satisfactory to the trustee against the costs, expenses and liabilities to be incurred in compliance with such request;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trustee for 60 days after its receipt of such notice, request and offer of security and/or indemnity has failed to institute any such proceeding;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direction inconsistent with such written request has been given to the trustee during such 60-day period by the holders of a majority in principal amount of the outstanding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trustee shall be under no obligation to exercise any of the rights or powers vested in it by the indenture at the request or direction of any of the holders of the Notes unless such holders shall have offered to the trustee security and/or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Notes, provided that (i) such direction shall not be in conflict with any rule of law or with the indenture, (ii) the trustee may take any other action deemed proper by the trustee that is not inconsistent with such direction and (iii) the trustee need not take any action that may involve it in personal liability or be unjustly prejudicial (it being understood that the trustee does not have an affirmative duty to ascertain whether or not any such directions are unduly prejudicial to such holders) to the holders of Notes not consenting.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90 days after the occurrence of any default under the indenture with respect to the Notes, the trustee shall transmit notice of such default actually known to a responsible officer of the trustee, unless such default shall have been cured or waived; provided,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subject to covenant defeasance and legal defeasance.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and officers’ certificate stating that all conditions precedent to covenant defeasance have been complied 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as described below, we can legally release ourselves from all payment and other obligations on the Notes (called “defeasance” or “legal defeasance”) if we put in place the following other arrangements for you to be repaid: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Trustee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maintain banking relationships in the ordinary course of business with the trustee and its affiliates.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it and the Notes shall be governed by and construed in accordance with the laws of the State of New York, without regard to principles of conflicts of laws that would cause the application of laws of another jurisdiction.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Settlement and Clearance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beneficial interests in a Global Note will be limited to persons who have accounts with DTC (“DTC participants”) or persons who hold interests through DTC participants. We expect that under procedures established by DTC: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deposit of a Global Note with DTC’s custodian, DTC will credit portions of the principal amount of the Global Note to the accounts of the DTC participants designated by the underwriters;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interests in Global Notes may not be exchanged for Notes in physical, certificated form except in the limited circumstances described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Procedures for Global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entitled to have Notes represented by the Global Note registered in their names;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receive or be entitled to receive physical, certificated Notes;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considered the owners or holders of the Notes under the indenture for any purpose, including with respect to receiving notices or the giving of any direction, instruction or approval to the trustee under the indenture.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participants in DTC will be effected under DTC’s procedures and will be settled in same-day funds.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Certificated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in physical, certificated form will be issued and delivered to each person that DTC identifies as a beneficial owner of the related Notes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notifies us at any time that it is unwilling or unable to continue as depositary for the Global Notes and a successor depositary is not appointed within 90 days;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ceases to be registered as a clearing agency under the Exchange Act and a successor depositary is not appointed within 90 days;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event of default with respect to the Notes has occurred and is continuing and such beneficial owner requests that its Notes be issued in physical, certificated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7011"/>
      <w:bookmarkEnd w:id="11"/>
      <w:r>
        <w:rPr>
          <w:rFonts w:ascii="Times New Roman PS Std;serif" w:hAnsi="Times New Roman PS Std;serif"/>
          <w:b/>
          <w:i w:val="false"/>
          <w:caps w:val="false"/>
          <w:smallCaps w:val="false"/>
          <w:sz w:val="20"/>
        </w:rPr>
        <w:t xml:space="preserve">UNDERWRITING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 and MUFG Securities Americas Inc. are acting as the representatives of the several underwriters in this offering. We have entered into an underwriting agreement with Keefe, Bruyette &amp; Woods, Inc. and MUFG Securities Americas Inc. as representatives on behalf of the several underwriters. Subject to the terms and conditions of the underwriting agreement, we have agreed to sell to the underwriters, and each underwriter has severally agreed to purchase, at the public offering price less the underwriting discounts set forth on the cover page of this prospectus supplement, the aggregate principal amount of Notes set forth below:</w:t>
      </w:r>
    </w:p>
    <w:tbl>
      <w:tblPr>
        <w:tblW w:w="6509" w:type="dxa"/>
        <w:jc w:val="left"/>
        <w:tblInd w:w="0" w:type="dxa"/>
        <w:tblLayout w:type="fixed"/>
        <w:tblCellMar>
          <w:top w:w="0" w:type="dxa"/>
          <w:left w:w="0" w:type="dxa"/>
          <w:bottom w:w="0" w:type="dxa"/>
          <w:right w:w="0" w:type="dxa"/>
        </w:tblCellMar>
      </w:tblPr>
      <w:tblGrid>
        <w:gridCol w:w="4411"/>
        <w:gridCol w:w="146"/>
        <w:gridCol w:w="301"/>
        <w:gridCol w:w="1651"/>
      </w:tblGrid>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9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 xml:space="preserve">Amount of </w:t>
              <w:br/>
              <w:t xml:space="preserve">Notes to be </w:t>
              <w:br/>
              <w:t>Purchased</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MUFG Securities Americas Inc.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112,500,000 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Hancock Whitney Investment Services, Inc.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RBC Capital Markets, LLC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Zions Direct,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Citizens JMP Securities, LLC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Ladenburg Thalmann &amp; Co. Inc.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Lucid Capital Markets, LLC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Oppenheimer &amp; Co. Inc.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6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300,000,000 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committed to purchase all the Notes offered by us if they purchase any Notes. The underwriting agreement also provides that if an underwriter defaults, the purchase commitments of the non-defaulting underwriters may be increased or the offering may be terminated.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underwriters against certain liabilities, including liabilities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Commissions and Discounts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propose to offer some of the Notes to the public at the public offering price set forth on the cover page of this prospectus supplement and some of the Notes to certain other dealers at the public offering price less a concession not in excess of 0.50% of the aggregate principal amount of the Notes. The underwriters may allow, and the dealers may reallow, a discount not in excess of 0.25% of the aggregate principal amount of the Notes. After the initial offering of the Notes to the public, the public offering price and other selling terms may be changed. No such change shall change the amount of proceeds to be received by us as set forth on the cover page of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public offering price, underwriting discount and proceeds before estimated expenses to us.</w:t>
      </w:r>
    </w:p>
    <w:tbl>
      <w:tblPr>
        <w:tblW w:w="7436" w:type="dxa"/>
        <w:jc w:val="left"/>
        <w:tblInd w:w="0" w:type="dxa"/>
        <w:tblLayout w:type="fixed"/>
        <w:tblCellMar>
          <w:top w:w="0" w:type="dxa"/>
          <w:left w:w="0" w:type="dxa"/>
          <w:bottom w:w="0" w:type="dxa"/>
          <w:right w:w="0" w:type="dxa"/>
        </w:tblCellMar>
      </w:tblPr>
      <w:tblGrid>
        <w:gridCol w:w="4336"/>
        <w:gridCol w:w="146"/>
        <w:gridCol w:w="1051"/>
        <w:gridCol w:w="146"/>
        <w:gridCol w:w="286"/>
        <w:gridCol w:w="1471"/>
      </w:tblGrid>
      <w:tr>
        <w:trPr/>
        <w:tc>
          <w:tcPr>
            <w:tcW w:w="43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17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297,543,000 </w:t>
            </w:r>
          </w:p>
        </w:tc>
      </w:tr>
      <w:tr>
        <w:trPr/>
        <w:tc>
          <w:tcPr>
            <w:tcW w:w="4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3,000,000 </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294,543,000 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expenses payable by us in connection with this offering, other than underwriting discounts and commissions, will be approximately $650,000. The underwriters will reimburse us for certain of our expenses related to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Sales of Similar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we have agreed not to, directly or indirectly, offer, pledge, sell, contract to sell, grant any option to purchase, make any short sale, or otherwise transfer or dispose of any securities that are substantially similar to the Notes or file or confidentially submit any registration statement under the Securities Act relating to such securities until the settlement date of this offering without first obtaining the written consent of the representatives. This consent may be given at any time without public notice.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certain of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and Short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may purchase and sell the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make prospectuses available in electronic (PDF) format. A prospectus in electronic (PDF) format may be made available on web sites maintained by the underwriters, and the underwriters may distribute such prospectuses electronically.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which they received or will receive customary fees and expenses. Certain of the underwriters and their affiliates were underwriters in connection with the offering of certain of the Existing Notes and our other securities offerings, for which they have received customary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us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or their respective affiliates may also trade in our securities, securities of our portfolio companies or other financial instruments related thereto for their own accounts or for the account of others and may extend loans or financing directly or through derivative transactions to the Trinity Capital Adviser LLC or any of our portfolio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of the underwriters in this offering act as lenders under the KeyBank Credit Facility and the KeyBank Secured Term Loan Facility. As described in the section entitled “Use of Proceeds”, we may use net proceeds of this offering to repay a portion of the outstanding indebtedness under the KeyBank Credit Facility. Certain of the net proceeds from the sale of the Notes, not including underwriting compensation, may be paid to such affiliates of certain of the underwriters in connection with the repayment of debt owed under the KeyBank Credit Facility. As a result, certain of the underwriters and/or their affiliates may receive more than 5% of the net proceeds of this offering, not including underwriting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Settlement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delivery of the Notes will be made to investors on or about May 21, 2026, which will be the first business day following the date hereof. Under Rule 15c6-1 of the Exchange Act trades in the secondary market generally are required to settle in one business day, unless the parties to any such trade expressly agree otherwise. Accordingly, purchasers who wish to trade the Notes prior to the business day before the date of delivery will be required, by virtue of the fact that the Notes initially will settle T+2, to specify an alternate settlement cycle at the time of any such trade to prevent a failed settlement. Purchasers of the Notes who wish to trade the Notes prior to the business day before the date of delivery should consult their own advisor.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Business Addresses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business address of Keefe, Bruyette &amp; Woods, Inc. is 787 Seventh Avenue, Fourth Floor, New York, New York 10019. The principal business address of MUFG Securities Americas Inc. is 1221 Avenue of the Americas, 6th Floor, New York, New York 10020.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Jurisdictions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than in the United States, no action has been taken by us or the underwriters that would permit a public offering of the Notes offered by this prospectus supplement and the accompanying prospectus in any jurisdiction where action for that purpose is required. The Notes offered by this prospectus supplement and the accompanying prospectus may not be offered or sold, directly or indirectly, nor may this prospectus supplement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This prospectus supplement and the accompanying prospectus do not constitute an offer to sell or a solicitation of an offer to buy any Notes offered by this prospectus supplement and the accompanying prospectus in any jurisdiction in which such an offer or a solicitation is unlawful.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the Prospective Investors in the European Economic Area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each European Economic Area Member State (each a “Relevant Member State”), no notes have been offered or will be offered pursuant to this offering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Regulation (as defined below), except that the Notes may be offered to the public in that Relevant Member State at any time: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any legal entity which is a qualified investor as defined under Article 2 of the Prospectus Regulation;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fewer than 150 natural or legal persons (other than qualified investors as defined under Article 2 of the Prospectus Regulation) subject to obtaining the prior consent of the underwriters for any such offer;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other circumstances falling within Article 1(4) of the Prospectus Regulation,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the Notes shall require the Company or any bank to publish a prospectus pursuant to Article 3 of the Prospectus Regulation or supplement a prospectus pursuant to Article 23 of the Prospectus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the Notes in any Relevant Member State means the communication in any form and by any means of sufficient information on the terms of the offer and any notes to be offered so as to enable an investor to decide to purchase any notes, and the expression “Prospectus Regulation” means Regulation (EU) 2017/1129.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a Relevant Member State who receives any communication in respect of, or who acquires any notes under, this offering contemplated hereby will be deemed to have represented, warranted and agreed to and with each of the underwriters and their affiliates and the Company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is a qualified investor within the meaning of the Prospectus Regulation;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 the case of any notes acquired by it as a financial intermediary, as that term is used in Article 5 of the Prospectus Regulation, (i) the Notes acquired by it in this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underwriters has been given to the offer or resale; or (ii) where the Notes have been acquired by it on behalf of persons in any Relevant Member State other than qualified investors, the offer of those notes to it is not treated under the Prospectus Regulation as having been made to such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key information document required by Regulation (EU) No 1286/2014 (as amended, the “PRIIPs Regulation”) for offering or selling the Notes or otherwise making them available to retail investors in a Relevant Member State has been prepared and therefore offering or selling the Notes or otherwise making them available to any retail investor in a Relevant Member State may be unlawful under the PRIIPs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the underwriters and their affiliates, and others will rely upon the truth and accuracy of the foregoing representation, acknowledgement and agreement. Notwithstanding the above, a person who is not a qualified investor and who has notified the underwriters of such fact in writing may, with the prior consent of the underwriters, be permitted to acquire notes in this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United Kingdom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not intended to be offered, sold or otherwise made available to and should not be offered, sold or otherwise made available to any retail investor in the United Kingdom. For the purposes of this provision: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expression “retail investor” means a person who is one (or more) of the following:</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retail client as defined in point (8) of Article 2 of Regulation (EU) No 2017/565 as it forms part of domestic law by virtue of the European Union (Withdrawal) Act 2018 (“EUWA”); or</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not a qualified investor as defined in Article 2 of the Prospectus Regulation as it forms part of domestic law by virtue of the EUWA (the “UK Prospectus Regulation”); and</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expression “offer” includes the communication in any form and by any means of sufficient information on the terms of the offer and the Notes to be offered so as to enable an investor to decide to purchase or subscribe for the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or its contents. The Notes are not being offered to the public in the United Kingdom.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United Kingdom, each underwriter has represented and agreed the Notes may not be offered other than by an underwriter that: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complied and will comply with all applicable provisions of the FSMA with respect to anything done by it in relation to the Notes in, from or otherwise involving the United Kingdom.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Canadian investors are advised that this prospectus has been prepared in reliance on section 3A.3 of National Instrument 33-105</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Underwriting Conflicts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(“NI 33-105</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Resale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Representations of Purchasers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PS Std;serif" w:hAnsi="Times New Roman PS Std;serif"/>
          <w:b w:val="false"/>
          <w:i/>
          <w:caps w:val="false"/>
          <w:smallCaps w:val="false"/>
          <w:sz w:val="20"/>
        </w:rPr>
        <w:t>Prospectus Exemptions</w:t>
      </w:r>
      <w:r>
        <w:rPr>
          <w:rFonts w:ascii="Times New Roman PS Std;serif" w:hAnsi="Times New Roman PS Std;serif"/>
          <w:b w:val="false"/>
          <w:i w:val="false"/>
          <w:caps w:val="false"/>
          <w:smallCaps w:val="false"/>
          <w:sz w:val="20"/>
        </w:rPr>
        <w:t xml:space="preserve"> or, in Ontario, as such term is defined in section 73.3(1) of the </w:t>
      </w:r>
      <w:r>
        <w:rPr>
          <w:rFonts w:ascii="Times New Roman PS Std;serif" w:hAnsi="Times New Roman PS Std;serif"/>
          <w:b w:val="false"/>
          <w:i/>
          <w:caps w:val="false"/>
          <w:smallCaps w:val="false"/>
          <w:sz w:val="20"/>
        </w:rPr>
        <w:t>Securities Act</w:t>
      </w:r>
      <w:r>
        <w:rPr>
          <w:rFonts w:ascii="Times New Roman PS Std;serif" w:hAnsi="Times New Roman PS Std;serif"/>
          <w:b w:val="false"/>
          <w:i w:val="false"/>
          <w:caps w:val="false"/>
          <w:smallCaps w:val="false"/>
          <w:sz w:val="20"/>
        </w:rPr>
        <w:t xml:space="preserve"> (Ontario); and (iii) a “permitted client” as such term is defined in section 1.1 of National Instrument 31-103 </w:t>
      </w:r>
      <w:r>
        <w:rPr>
          <w:rFonts w:ascii="Times New Roman PS Std;serif" w:hAnsi="Times New Roman PS Std;serif"/>
          <w:b w:val="false"/>
          <w:i/>
          <w:caps w:val="false"/>
          <w:smallCaps w:val="false"/>
          <w:sz w:val="20"/>
        </w:rPr>
        <w:t>Registration Requirements, Exemptions and Ongoing Registrant Obligations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and Eligibility for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of Action for Damages or Rescission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Times New Roman PS Std;serif" w:hAnsi="Times New Roman PS Std;serif"/>
          <w:b w:val="false"/>
          <w:i/>
          <w:caps w:val="false"/>
          <w:smallCaps w:val="false"/>
          <w:sz w:val="20"/>
        </w:rPr>
        <w:t>Ontario Prospectus and Registration Exemptions</w:t>
      </w:r>
      <w:r>
        <w:rPr>
          <w:rFonts w:ascii="Times New Roman PS Std;serif" w:hAnsi="Times New Roman PS Std;serif"/>
          <w:b w:val="false"/>
          <w:i w:val="false"/>
          <w:caps w:val="false"/>
          <w:smallCaps w:val="false"/>
          <w:sz w:val="20"/>
        </w:rPr>
        <w:t xml:space="preserve"> and in Multilateral Instrument 45-107 </w:t>
      </w:r>
      <w:r>
        <w:rPr>
          <w:rFonts w:ascii="Times New Roman PS Std;serif" w:hAnsi="Times New Roman PS Std;serif"/>
          <w:b w:val="false"/>
          <w:i/>
          <w:caps w:val="false"/>
          <w:smallCaps w:val="false"/>
          <w:sz w:val="20"/>
        </w:rPr>
        <w:t>Listing Representation and Statutory Rights of Action Disclosure Exemptions</w:t>
      </w:r>
      <w:r>
        <w:rPr>
          <w:rFonts w:ascii="Times New Roman PS Std;serif" w:hAnsi="Times New Roman PS Std;serif"/>
          <w:b w:val="false"/>
          <w:i w:val="false"/>
          <w:caps w:val="false"/>
          <w:smallCaps w:val="false"/>
          <w:sz w:val="20"/>
        </w:rPr>
        <w:t>,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Language of Documents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PS Std;serif" w:hAnsi="Times New Roman PS Std;serif"/>
          <w:b w:val="false"/>
          <w:i/>
          <w:caps w:val="false"/>
          <w:smallCaps w:val="false"/>
          <w:sz w:val="20"/>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Singapore Securities and Futures Act Product Classification — </w:t>
      </w:r>
      <w:r>
        <w:rPr>
          <w:rFonts w:ascii="Times New Roman PS Std;serif" w:hAnsi="Times New Roman PS Std;serif"/>
          <w:b w:val="false"/>
          <w:i w:val="false"/>
          <w:caps w:val="false"/>
          <w:smallCaps w:val="false"/>
          <w:sz w:val="20"/>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Israel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(a “Qualified Investor”), in all cases under the circumstances that will fall within the private placement exemption of the Israeli Securities Law of 1968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Warning — The contents of this prospectus supplement have not been reviewed, approved or endorsed by any regulatory authority in Hong Kong. You are advised to exercise caution in relation to the offer. If you are in any doubt about any of the contents of this prospectus supplement, you should obtain independent professional advice.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have not been offered or sold and will not be offered or sold in Hong Kong, by means of any document, other than (a) to “professional investors” as defined in the Securities and Futures Ordinance (Chapter 571 of the Laws of Hong Kong) (“SFO”) and any rules made under the SFO, including the Securities and Futures (Professional Investor) Rules (Chapter 571D of the Laws of Hong Kong); or (b) in other circumstances which do not result in the document being a “prospectus” as defined in the Companies (Winding Up and Miscellaneous Provisions) Ordinance (Chapter 32 of the Laws of Hong Kong) (“CWUMPO”) or which do not constitute an offer to the public within the meaning of the CWUMPO.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laws of Hong Kong) other than with respect to Notes which are or are intended to be disposed of only to persons outside Hong Kong or only to “professional investors” as defined in the SFO and any rules made under the SFO. This prospectus supplement is intended solely for the use of the person to whom it has been delivered for the purpose of evaluating a possible investment by the recipient in the Notes described herein, and is not to be reproduced or distributed to any other persons (other than professional advisors of the prospective investor receiving this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Saudi Arabia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may not be distributed in the Kingdom of Saudi Arabia except to such persons as are permitted under the Rules on the Offer of Securities and Continuing Obligations as issued by the board of the Saudi Arabian Capital Market Authority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7012"/>
      <w:bookmarkEnd w:id="1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Notes offered hereby and certain legal matters for us in connection with the offering will be passed upon for us by Dechert LLP. Certain legal matters in connection with the offering will be passed upon for the underwriters by Ropes &amp; Gray LLP.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7013"/>
      <w:bookmarkEnd w:id="13"/>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supplement from the date we file any such document. Any reports filed by us with the SEC subsequent to the date of this prospectus supplement and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supplement our filings listed below and any future filings that we may file with the SEC under Sections 13(a), 13(c), 14 or 15(d) of the Exchange Act, subsequent to the date of this prospectus supplement until all of the securities offered by this prospectus supplement have been sold or we otherwise terminate the offering of those securities; provided, however, that information “furnished” under Item 2.02 or Item 7.01 of Form 8-K or other information “furnished” to the SEC which is not deemed filed is not incorporated by reference in this prospectus supplement and any accompanying prospectus. Information that we file with the SEC subsequent to the date of this prospectus supplement will automatically update and may supersede information in this prospectus supplement, and other information previously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February 25,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4">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April 30,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5">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March 31, 2026, filed with the SEC on May 6, 2026; and</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Current Report on </w:t>
      </w:r>
      <w:hyperlink r:id="rId6">
        <w:r>
          <w:rPr>
            <w:rStyle w:val="InternetLink"/>
            <w:rFonts w:ascii="Times New Roman PS Std;serif" w:hAnsi="Times New Roman PS Std;serif"/>
            <w:b w:val="false"/>
            <w:i w:val="false"/>
            <w:caps w:val="false"/>
            <w:smallCaps w:val="false"/>
            <w:sz w:val="20"/>
          </w:rPr>
          <w:t>Form 8-K</w:t>
        </w:r>
      </w:hyperlink>
      <w:r>
        <w:rPr>
          <w:rFonts w:ascii="Times New Roman PS Std;serif" w:hAnsi="Times New Roman PS Std;serif"/>
          <w:b w:val="false"/>
          <w:i w:val="false"/>
          <w:caps w:val="false"/>
          <w:smallCaps w:val="false"/>
          <w:sz w:val="20"/>
        </w:rPr>
        <w:t xml:space="preserve"> (other than information furnished rather than filed) filed with the SEC on May 7,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in the accompanying prospectus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Warrants</w:t>
        <w:br/>
        <w:t>Subscription Rights</w:t>
        <w:br/>
        <w:t>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investor-based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(i) in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“Sales of Common Stock Below Net Asset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(“Nasdaq”) under the symbol “TRIN.” On August 5, 2025, the last reported sales price of our common stock on Nasdaq was $15.12 per share. The net asset value per share of our common stock at June 30, 2025 (the last date prior to the date of this prospectus for which we reported net asset value) was $13.27.</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including credit risk, the risk of the use of leverage and the risk of dilution, and is highly speculative. In addition, shares of closed-end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investment companies, including BDCs, frequently trade at a discount to their net asset values. If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6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Information on our website is not incorporated into or a part of this prospectus and any accompanying prospectus supplement. The SEC also maintains a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prospectus may not be used to consummate sales of securities unless accompanied by a prospectus supplement.</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August 11,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ISSUANCE OF OPTIONS, WARRANTS OR SECURITIES TO SUBSCRIBE FOR OR CONVERTIBLE INTO SHARES OF OUR COMMON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an automatic “shelf” registration statement that we have filed with the SEC, as a “well-known seasoned issuer” as defined in Rule 405 under the Securities Act. Under this automatic “shelf” registration statement, we may offer, from time to time, in one or more offerings or series, an indefinite amount of our common stock, preferred stock, debt securities, subscription rights to purchase shares of our common stock, and/or warrants representing rights to purchase shares of our common stock, preferred stock or debt securities, on terms to be determined at the time of the offering. See “Plan of Distribution” for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4" w:name="T9901"/>
      <w:bookmarkEnd w:id="14"/>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Trinity Capital Inc. (“we,” “us,” “our,” “Trinity” and the “Company”), a Maryland corporation, is a specialty lending company that provides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growth-oriented companies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24 months, and our equipment financings generally begin amortizing immediately. Our loans and equipment financings generally have a total term of up to 60 months. These investments are typically secured by a blanket first position lien, a specific asset lien on mission-critical assets and/or a blanket second position lien. We may also make a limited number of direct equity and equity-related investments in conjunction with our debt investments. We target growth-oriented companies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that have recently issued 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will mitigate risk and significantly reduce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Certain of the loans in which we invest have financial maintenance covenants, which are used to proactively address materially adverse changes in a portfolio company’s financial performance. However, we have invested in and may in the future invest in or obtain significant exposure to “covenant-lite” loans, which generally are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because we invest in and have exposure to covenant-lite loans, we may have fewer rights against a borrower and may have a greater risk of loss on such investments as compared to investments in or exposure to loans with financial maintenance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June 30, 2025, our investment portfolio had an aggregate fair value of approximately $1,978.3 million and was comprised of approximately $1,491.8 million in secured loans, $342.6 million in equipment financings, and $143.9 million in equity and warrants, across 163 portfolio companies. See “Business” and “Management’s Discussion and Analysis of Financial Condition and Results of Operations” for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qualify and intend to continue to qualify as a regulated investment company (“RIC”) under the Internal Revenue Code of 1986, as amended (the “Code”), for U.S. federal income tax purposes. As a BDC and a RIC, we are required to comply with certain regulatory requirements. See “Regulation” and “Certain U.S. Federal Income Tax Considerations”. For example, as a BDC, at least 70% of our assets must be assets of the type listed in Section 55(a) of the 1940 Act. See “Regulation.”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www.trinitycap.com</w:t>
      </w:r>
      <w:r>
        <w:rPr>
          <w:rFonts w:ascii="Times New Roman PS Std;serif" w:hAnsi="Times New Roman PS Std;serif"/>
          <w:b w:val="false"/>
          <w:i w:val="false"/>
          <w:caps w:val="false"/>
          <w:smallCaps w:val="false"/>
          <w:sz w:val="20"/>
          <w:bdr w:val="single" w:sz="8" w:space="10" w:color="000000"/>
        </w:rPr>
        <w:t>. Information on our website is not incorporated into or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any accompanying prospectus supplement, any related free writing prospectus we may authorize in connection with a specific offering, as well as “Risk Factors” in our most recent Annual Report on Form 10-K and our most recent Quarterly Report on Form 10-Q, for a detailed discussion of the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5" w:name="T9902"/>
      <w:bookmarkEnd w:id="15"/>
      <w:r>
        <w:rPr>
          <w:rFonts w:ascii="Times New Roman PS Std;serif" w:hAnsi="Times New Roman PS Std;serif"/>
          <w:b/>
          <w:i w:val="false"/>
          <w:caps w:val="false"/>
          <w:smallCaps w:val="false"/>
          <w:sz w:val="20"/>
          <w:bdr w:val="single" w:sz="8" w:space="10" w:color="000000"/>
        </w:rPr>
        <w:t xml:space="preserve">FEES AND EXPENSES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tbl>
      <w:tblPr>
        <w:tblW w:w="10195" w:type="dxa"/>
        <w:jc w:val="left"/>
        <w:tblInd w:w="0" w:type="dxa"/>
        <w:tblLayout w:type="fixed"/>
        <w:tblCellMar>
          <w:top w:w="0" w:type="dxa"/>
          <w:left w:w="0" w:type="dxa"/>
          <w:bottom w:w="0" w:type="dxa"/>
          <w:right w:w="0" w:type="dxa"/>
        </w:tblCellMar>
      </w:tblPr>
      <w:tblGrid>
        <w:gridCol w:w="8356"/>
        <w:gridCol w:w="146"/>
        <w:gridCol w:w="286"/>
        <w:gridCol w:w="926"/>
        <w:gridCol w:w="481"/>
      </w:tblGrid>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8694"/>
        <w:gridCol w:w="146"/>
        <w:gridCol w:w="706"/>
        <w:gridCol w:w="659"/>
      </w:tblGrid>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fund fees and expenses</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annual expenses</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are sold to or through underwriters, a related prospectus supplement will disclose the applicable sales load (underwriting discount or commission).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A related prospectus supplement will disclose the estimated amount of offering expenses, the offering price and the estimated amount of offering expenses borne by the Company as a percentage of the offering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our distribution reinvestment plan are included in “Operating expenses.” The plan administrator’s fees will be paid by us. There will be no brokerage charges or other charges to stockholders who participate in our distribution reinvestment plan except that, if a participant elects by written notice to the plan administrator prior to termination of the participant’s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 For additional information, see “Distribution Reinvestment Plan.”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Operating expenses represent the estimated annual operating expenses of the Company and its consolidated subsidiaries based on annualized operating expenses estimated for the current fiscal year, which considers the actual expenses for the quarter ended June 30, 2025. We do not have an investment adviser and are internally managed by our executive officers under the supervision of the Board. As a result, we do not pay investment advisory fees, but instead we pay the operating costs associated with employing investment management professionals, including, without limitation, compensation expenses related to salaries, discretionary bonuses and grants of options and restricted stock, if 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(5)      Interest payments on borrowed funds represents an estimate of our annualized interest expense based on borrowings under the credit agreement with KeyBank, National Association (as amended, the “KeyBank Credit Agreement”), the August 2026 Notes, the December 2026 Notes, the March 2029 Notes, the September 2029 Notes, the Series A Notes and the July 2030 Notes (as such terms are defined herein). The assumed weighted average interest rate on our total debt outstanding was 7.44% based on $443.4 million outstanding under the KeyBank Credit Agreement, $125 million in aggregate principal amount of the August 2026 Notes outstanding, $75 million in aggregate principal amount of the December 2026 Notes outstanding, $116.6 million in aggregate principal amount of the March 2029 Notes outstanding, $119.2 million in aggregate principal amount of the September 2029 Notes outstanding, $142.5 million in aggregate principal amount of the Series A Notes outstanding and $125 million in aggregate principal amount of the July 2030 Notes outstanding. We may borrow additional funds from time to time to make investments to the extent we determine that it is in our best interest in doing so. We may also issue additional debt securities or preferred stock, subject to our compliance with applicable requirements under the 1940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Acquired fund fees and expenses represent the estimated indirect expense incurred due to investments in other investment companies and private funds.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The holders of shares of our common stock indirectly bear the cost associated with our annual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stockholder transaction expenses described above are included in the following example.</w:t>
      </w:r>
    </w:p>
    <w:tbl>
      <w:tblPr>
        <w:tblW w:w="10205" w:type="dxa"/>
        <w:jc w:val="left"/>
        <w:tblInd w:w="0" w:type="dxa"/>
        <w:tblLayout w:type="fixed"/>
        <w:tblCellMar>
          <w:top w:w="0" w:type="dxa"/>
          <w:left w:w="0" w:type="dxa"/>
          <w:bottom w:w="0" w:type="dxa"/>
          <w:right w:w="0" w:type="dxa"/>
        </w:tblCellMar>
      </w:tblPr>
      <w:tblGrid>
        <w:gridCol w:w="6185"/>
        <w:gridCol w:w="146"/>
        <w:gridCol w:w="286"/>
        <w:gridCol w:w="526"/>
        <w:gridCol w:w="146"/>
        <w:gridCol w:w="297"/>
        <w:gridCol w:w="547"/>
        <w:gridCol w:w="146"/>
        <w:gridCol w:w="297"/>
        <w:gridCol w:w="547"/>
        <w:gridCol w:w="146"/>
        <w:gridCol w:w="311"/>
        <w:gridCol w:w="625"/>
      </w:tblGrid>
      <w:tr>
        <w:trPr/>
        <w:tc>
          <w:tcPr>
            <w:tcW w:w="61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61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 (none of which is subject to a capital gains incentive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In addition, while the example assumes reinvestment of all dividends and distributions at net asset value, if our Board authorizes and we declare a cash dividend, participants in our distribution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“Distribution Reinvestment Plan” for additional information regarding our distribution reinvestment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example and the expenses in the table above should not be considered a representation of our future expenses, and actual expenses (including the cost of debt, if any, and other expenses) may be greater or less than those shown.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6" w:name="T9903"/>
      <w:bookmarkEnd w:id="16"/>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regarding our financial highlights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04"/>
      <w:bookmarkEnd w:id="17"/>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“Part I, Item IA. Risk Factors” in our most recent Annual Report on Form 10-K, which is incorporated by reference herein in their entirety, “Part II, Item 1A. Risk Factors”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you may lose all or part of your investment. Please also read carefully the section titled “Special Note Regarding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05"/>
      <w:bookmarkEnd w:id="18"/>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any accompanying prospectus supplement, any related free writing prospectus and any documents we may incorporate by reference herein and therein, including the following factors,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may be other risks that are otherwise described from time to time in the reports that we file with the SEC. Any forward-looking statements in this prospectus, any accompanying prospectus supplement, any related free writing prospectus and any documents we may incorporate by reference herein and therein should be considered in light of various important factors, including the risks and uncertainties listed above, as well as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forward-looking statements are necessarily only estimates of future results, and there can be no assurance that actual results will not differ materially from expectations, and, therefore, you are cautioned not to place undue reliance on such statements. Any forward-looking statements are qualified in their entirety by reference to the factors discussed throughout this prospectus, any accompanying prospectus supplement, any related free writing prospectus and any documents we may incorporate by reference herein. Further, any forward-looking statement speaks only as of the date on which it is made in this prospectus, any accompanying prospectus supplement,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Because we are an investment company, the forward-looking statements and projections contained in this prospectus, any accompanying prospectus supplement, if any, and any documents we may incorporate by reference herein are excluded from the safe harbor protection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06"/>
      <w:bookmarkEnd w:id="19"/>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strategies, repayment of any outstanding indebtedness, paying operating expenses and other general corporate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07"/>
      <w:bookmarkEnd w:id="20"/>
      <w:r>
        <w:rPr>
          <w:rFonts w:ascii="Times New Roman PS Std;serif" w:hAnsi="Times New Roman PS Std;serif"/>
          <w:b/>
          <w:i w:val="false"/>
          <w:caps w:val="false"/>
          <w:smallCaps w:val="false"/>
          <w:sz w:val="20"/>
        </w:rPr>
        <w:t xml:space="preserve">PRICE RANGE OF COMMON STOCK AND DISTRIBUTIONS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our price range of common stock and distributions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08"/>
      <w:bookmarkEnd w:id="21"/>
      <w:r>
        <w:rPr>
          <w:rFonts w:ascii="Times New Roman PS Std;serif" w:hAnsi="Times New Roman PS Std;serif"/>
          <w:b/>
          <w:i w:val="false"/>
          <w:caps w:val="false"/>
          <w:smallCaps w:val="false"/>
          <w:sz w:val="20"/>
        </w:rPr>
        <w:t xml:space="preserve">MANAGEMENT’S DISCUSSION AND ANALYSIS OF </w:t>
        <w:br/>
        <w:t xml:space="preserve">FINANCIAL CONDITION AND RESULTS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II, Item 7. Management’s Discussion and Analysis of Financial Condition and Results of Operations” of our most recent Annual Report on Form 10-K and in “Part I, Item 2. Management’s Discussion and Analysis of Financial Condition and Results of Operations”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09"/>
      <w:bookmarkEnd w:id="22"/>
      <w:r>
        <w:rPr>
          <w:rFonts w:ascii="Times New Roman PS Std;serif" w:hAnsi="Times New Roman PS Std;serif"/>
          <w:b/>
          <w:i w:val="false"/>
          <w:caps w:val="false"/>
          <w:smallCaps w:val="false"/>
          <w:sz w:val="20"/>
        </w:rPr>
        <w:t xml:space="preserve">BUSINESS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“Part I, Item 2. Properties” and “Part I, Item 3. Legal Proceedings” of our most recent Annual Report on Form 10-K, and in “Part II, Item 1. Legal Proceedings” of our most recent Quarterly Report on Form 10-Q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10"/>
      <w:bookmarkEnd w:id="23"/>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end of our most recently completed fiscal quarter is located in “Part I, Item 1. Consolidated Financial Statements — Notes to Consolidated Financial Statements” of our most recent Quarterly Report on Form 10-Q and as of the end of our most recently completed fiscal year is located in “Part II, Item 8. Financial Statements and Supplementary Data — Notes to Consolidated Financial Statements” of our most recent Annual Report on Form 10-K, which are incorporated by reference herein. We had no senior securities outstanding as of December 31, 2019. The report of our independent registered public accounting firm, Ernst &amp; Young LLP, on our financial statements as of December 31, 2024 and 2023 and for each of the three years in the period ended December 31, 2024, 2023 and 2022 is included in our most recent Annual Report on Form 10-K (filed on February 26, 2025)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11"/>
      <w:bookmarkEnd w:id="24"/>
      <w:r>
        <w:rPr>
          <w:rFonts w:ascii="Times New Roman PS Std;serif" w:hAnsi="Times New Roman PS Std;serif"/>
          <w:b/>
          <w:i w:val="false"/>
          <w:caps w:val="false"/>
          <w:smallCaps w:val="false"/>
          <w:sz w:val="20"/>
        </w:rPr>
        <w:t xml:space="preserve">PORTFOLIO COMPANIES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certain information regarding each of the portfolio companies in which we had a loan, equipment financing, equity or equity-related investment as of June 30, 2025. We will offer to make available significant managerial assistance to our portfolio companies. We may receive rights to observe the meetings of our portfolio companies’ board of directors. Other than these investments, our only relationships with our portfolio companies will be the managerial assistance we may separately provide to our portfolio companies, which services will be ancillary to our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presented in thousands, except number of shares or units.)</w:t>
      </w:r>
    </w:p>
    <w:tbl>
      <w:tblPr>
        <w:tblW w:w="1214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08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3DEO,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24225 Granier St. Torrance, CA 90505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0.1%; EOT 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3DEO,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2,032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Aledia,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 Rue des Méridiens 38130 Echirolles, France</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10.7%;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$149.02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Aledia,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 Seated,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 California St., Ste 610 San Francisco, CA 94104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$15.72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Thames Valley Park Drive Reading, Berkshire, England, RG6 1RB</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+ 7.0% or Floor rate 11.5%;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19,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71,203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20,769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8,486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8,101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Ambient Photronics,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Enterprise Way, Ste. C205 Scotts Valley, CA 95066</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7.5%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16,151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7.5%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6,690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937,604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22,391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23,342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3811 Turtle Creek Blvd. Ste. 2100 Dallas, TX 75219</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05" w:type="dxa"/>
        <w:jc w:val="left"/>
        <w:tblInd w:w="0" w:type="dxa"/>
        <w:tblLayout w:type="fixed"/>
        <w:tblCellMar>
          <w:top w:w="0" w:type="dxa"/>
          <w:left w:w="0" w:type="dxa"/>
          <w:bottom w:w="0" w:type="dxa"/>
          <w:right w:w="0" w:type="dxa"/>
        </w:tblCellMar>
      </w:tblPr>
      <w:tblGrid>
        <w:gridCol w:w="1076"/>
        <w:gridCol w:w="146"/>
        <w:gridCol w:w="202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1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16.0%;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13,864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 &amp; Science,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2901 Enterprise Lane Midland, TX 79706</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12.4%; EOT 9.0%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9.0%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 &amp; Science,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21,843</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Astranis Space Technologies Corp.</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 Bryant St. San Francisco, CA 94107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6,312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6,065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13.8%; EOT 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10,072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13,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85,644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156,677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26,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C Prime 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64,223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Astranis Space Technologies Corp.</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20,458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19,858</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Athletic Brewing Company,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 Long Beach Blvd. Stratford, CT 06615</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$140.21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Athletic Brewing Company,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754</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Augmented Reality Concepts,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 S Warren St. Syracuse, NY 13202</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18,937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Axiom Space,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1290 Hercules Ave, First Floor Houston, TX 77058</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$340.11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$169.24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Axiom Space,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424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AZ-VC Fund I,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7465 E Osborn Road Suite B Scottsdale, AZ 85251</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20"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11"/>
        <w:gridCol w:w="146"/>
        <w:gridCol w:w="78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BaubleBar,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1115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29,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531,806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BaubleBar,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Park Street Columbia, SC 29201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29,136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47,479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31,964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32,069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32,301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Bestow,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2700 Commerce St, Ste. 1000 Dallas, TX 75226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349,793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BetterLeap,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 Francisco St., Ste 800 San Francisco, CA 94133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$2.26152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88,435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BoardRE,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 Detroit St. Denver, CO 80206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+ 8.3% or Floor rate 11.5%;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Bolb,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 Wright Brothers Ave Livermore, CA 94551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12,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181,784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Boosted eCommerce,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9903 Santa Monica Blvd., Ste 605 Beverly Hills, CA 90212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 Strike Price $0.8446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Busbot,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 Town Square Place Suite 1203 #1067 Jersey City, NJ 07310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+ 11.5% or Floor rate 13.5%;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539,490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2035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Busbot,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10,883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10,586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17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B.Well Connected Health,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 W Ostend St, Suite 300 Baltimore, MD 21230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106,824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B.Well Connected Health,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Cabernet AI,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1434 Spruce Street Suite 100 Boulder, CO 80302</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Cagent Vascular,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 Strafford Ave Suite 315 Wayne, PA 19087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Cart.com,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1334 Brittmoore Rd., Ste. 225 Houston, TX 77043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11,533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17,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Cart.com,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 Allerton Ave South San Francisco, CA 94080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12.2%;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$4.77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243,868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61,031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199 Scott Street, Suite 800 Buffalo, NY 14204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3,630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75" w:type="dxa"/>
        <w:jc w:val="left"/>
        <w:tblInd w:w="0" w:type="dxa"/>
        <w:tblLayout w:type="fixed"/>
        <w:tblCellMar>
          <w:top w:w="0" w:type="dxa"/>
          <w:left w:w="0" w:type="dxa"/>
          <w:bottom w:w="0" w:type="dxa"/>
          <w:right w:w="0" w:type="dxa"/>
        </w:tblCellMar>
      </w:tblPr>
      <w:tblGrid>
        <w:gridCol w:w="1121"/>
        <w:gridCol w:w="146"/>
        <w:gridCol w:w="2026"/>
        <w:gridCol w:w="146"/>
        <w:gridCol w:w="1021"/>
        <w:gridCol w:w="146"/>
        <w:gridCol w:w="1081"/>
        <w:gridCol w:w="146"/>
        <w:gridCol w:w="781"/>
        <w:gridCol w:w="146"/>
        <w:gridCol w:w="811"/>
        <w:gridCol w:w="146"/>
        <w:gridCol w:w="946"/>
        <w:gridCol w:w="146"/>
        <w:gridCol w:w="1006"/>
        <w:gridCol w:w="146"/>
        <w:gridCol w:w="661"/>
        <w:gridCol w:w="146"/>
        <w:gridCol w:w="661"/>
        <w:gridCol w:w="946"/>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128,393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22,875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22,958</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Cherry Technologies,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2261 Market St., Suite 4869 San Francisco, CA 94114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Cherry Technologies,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14,768</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Cirrascale Cloud Services,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13,549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Cirrascale Cloud Services,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27,614</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CMR Surgical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Evolution Business Park, Milton Road Cambridge, England CB24 9NG</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CMR Surgical Limited</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29,808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30,673</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 Sidney St.</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Cambridge, MA 02139</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13.2%; EOT 10.0%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11.2%; EOT 6.0%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24,241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25,149</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Convergent Dental,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 Kendrick St., Ste C110 Needham, MA 02494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21,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$1.61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446,982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Cpacket Networks,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 N McCarthy Blvd, Suite 100 Milpitas, CA 95035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12.0%+PIK Fixed Interest Rate 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499,366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Cpacket Networks,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20,840</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310"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71"/>
        <w:gridCol w:w="146"/>
        <w:gridCol w:w="766"/>
        <w:gridCol w:w="146"/>
        <w:gridCol w:w="811"/>
        <w:gridCol w:w="146"/>
        <w:gridCol w:w="946"/>
        <w:gridCol w:w="146"/>
        <w:gridCol w:w="1006"/>
        <w:gridCol w:w="146"/>
        <w:gridCol w:w="571"/>
        <w:gridCol w:w="146"/>
        <w:gridCol w:w="616"/>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Crowdtap,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625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16,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Crowdtap,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892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Crusoe Energy Systems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255 Fillmore St. Denver, CO 80206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Daily Pay,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55 Broad St., 29</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89,264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1,823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Dandelion Energy,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335 Madison Ave.,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Daring Foods,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3505 Helms, Ave. Culver City, CA 90232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68,100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Delphinus Medical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45525 Grand River Ave. Novi, MI 48374</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 Strike Price $0.69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294,288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Dentologie Enterprises,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 N. Green St., Unit 805 Chicago, IL 60607</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51,632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Dentologie Enterprises,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DrinkPak,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21375 Needham Ranch Parkway Santa Clarita, CA 91321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6,148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13,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DrinkPak, LLC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Drone Racing League,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253,824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Drone Racing League,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5,313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Dynamics,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 Nixon Rd. Cheswick, PA 15024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265" w:type="dxa"/>
        <w:jc w:val="left"/>
        <w:tblInd w:w="0" w:type="dxa"/>
        <w:tblLayout w:type="fixed"/>
        <w:tblCellMar>
          <w:top w:w="0" w:type="dxa"/>
          <w:left w:w="0" w:type="dxa"/>
          <w:bottom w:w="0" w:type="dxa"/>
          <w:right w:w="0" w:type="dxa"/>
        </w:tblCellMar>
      </w:tblPr>
      <w:tblGrid>
        <w:gridCol w:w="956"/>
        <w:gridCol w:w="146"/>
        <w:gridCol w:w="946"/>
        <w:gridCol w:w="146"/>
        <w:gridCol w:w="1021"/>
        <w:gridCol w:w="146"/>
        <w:gridCol w:w="1111"/>
        <w:gridCol w:w="146"/>
        <w:gridCol w:w="766"/>
        <w:gridCol w:w="146"/>
        <w:gridCol w:w="811"/>
        <w:gridCol w:w="146"/>
        <w:gridCol w:w="106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Earthdaily Constellation Holdings, LP</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1055 Canada Pl, 30 Vancouver, British Columbia, Canada V6C 0C3</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13.5%;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Stock; Strike Price $0.81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2,210,342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28,603</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Edblox,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 E Washington St Suite 825 Chicago, IL 60602</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19,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111458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Edblox,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Edeniq,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2505 N Shirk Rd. Visalia, CA 93291</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2,685,501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2,184,672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29,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$0.44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5,106,972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3,850,294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29,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154,906,320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3,657,487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7,807,499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133,766,138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Edeniq,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26,392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Electric Hydrogen Co.</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835 E. San Carlos Ave., Ste 100 San Carlos, CA 94070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Electric Hydrogen Co.</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9,066</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10,360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10,107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Elucent Medical,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6509 Flying Cloud Dr, Suite 160 Eden Prairie, MN 55344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11.3%; EOT 3.3%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$0.2985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1,628,141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Elucent Medical,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12,127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12,554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Emerald Cloud,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844 Dubuque Ave South San Francisco, CA 94080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499,999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617,890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Emerald Cloud,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65"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6880 Winchester Cir., Unit D Boulder, CO 80301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(17)</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9.4%;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6,183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Empower Financial,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8515 E. Orchard Road Greenwood Village, CO 80111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13,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404,893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2,810,235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21,974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300,285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Empower Financial,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37,720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62,492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63,351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EPT 16,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4"/>
              </w:rPr>
              <w:t>Multi-Sector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4"/>
              </w:rPr>
              <w:t>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 Steamboat Rd., Suite 202 Greenwich, CT 06830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Eqis Capital Management,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1000 4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Ste 650 San Rafael, CA 94901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6,618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904,000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Eqis Capital Management,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6,704</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Equipment Leasing Services,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9977 North 95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Street, Scottsdale, AZ 85258</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10.1%; EOT 12.0%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2,986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12.0%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Equipment Leasing Services, LLC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5,279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Eterneva,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4115 Friedrich Ln, Ste. 150 Austin, TX 78744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7.8%;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8.1%;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833,333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Eterneva,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1,466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1,339</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55"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11"/>
        <w:gridCol w:w="146"/>
        <w:gridCol w:w="73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Everalbum,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Letterman Dr., Building C, Suite 3500 San Francisco, CA 94129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29,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851,063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Exer Holdings,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15503 Ventura Blvd. Encino, CA 91436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19,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 Crawfords Corner Rd Suite 2221 Holmdel, NJ 07733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7,778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8,042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13,493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Firefly Systems,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488 8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133,147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Footprint International Holding,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E. Germann Rd.Gilbert, AZ 85927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12,928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18,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77,524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F; Strike Price $25000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Footprint International Holding,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25,514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30,490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24,509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 Dane St</w:t>
              <w:br/>
              <w:t>Somerville, MA 02143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26,049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25,929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85556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32,976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33,588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34,037</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161" w:type="dxa"/>
        <w:jc w:val="left"/>
        <w:tblInd w:w="0" w:type="dxa"/>
        <w:tblLayout w:type="fixed"/>
        <w:tblCellMar>
          <w:top w:w="0" w:type="dxa"/>
          <w:left w:w="0" w:type="dxa"/>
          <w:bottom w:w="0" w:type="dxa"/>
          <w:right w:w="0" w:type="dxa"/>
        </w:tblCellMar>
      </w:tblPr>
      <w:tblGrid>
        <w:gridCol w:w="926"/>
        <w:gridCol w:w="146"/>
        <w:gridCol w:w="98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Get Spiffy,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2750 W. Camelback Rd. Phoenix, </w:t>
              <w:br/>
              <w:t>AZ 85017</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12.3%; EOT 6.0%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9,187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16,024,208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14,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874,527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Get Spiffy,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9,414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GoFor Delivers,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 Kirkwood Ave.</w:t>
              <w:br/>
              <w:t>Ottawa, ON, Canada K1Z8P1</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12.0%;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2 Seed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194,329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GoFor Delivers,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Grabit Interactive Media,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 Research Blvd., Ste. 160C</w:t>
              <w:br/>
              <w:t>Austin, TX 78759</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142,828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Grabit Interactive Media,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Gravie,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 NE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#300 Minneapolis, MN 55413</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13.0%;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123,816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Gravie,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15,556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GrubMarket,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1925 Jerrold Ave</w:t>
              <w:br/>
              <w:t>San Francisco, CA 94124</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Gtxcel,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2855 Telegraph Ave., Suite 600</w:t>
              <w:br/>
              <w:t>Berkeley, CA 94705</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$0.21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Gtxcel,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Hadrian Automation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12605 S. Van Ness Ave. Hawthorne, CA 90250</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17.7%;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11"/>
        <w:gridCol w:w="146"/>
        <w:gridCol w:w="736"/>
        <w:gridCol w:w="146"/>
        <w:gridCol w:w="811"/>
        <w:gridCol w:w="146"/>
        <w:gridCol w:w="94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17.6%;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Hadrian Automation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6,616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Happiest Baby,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3115 South La Cienega Blvd. Los Angeles, CA 90016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Hermeus Corporation</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3960 Dekalb Technology Pkwy Atlanta, GA 30340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9,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Hi-Power, LLC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 Braddock Ave. Turtle Creek, PA 15145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14.7%;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1,137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Hologram,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1N LaSalle St., Suite 850 Chicago, IL 60602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27,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193,054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Homelight,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1375 N. Scottsdale Rd., Ste. 140</w:t>
              <w:br/>
              <w:t>Scottsdale, AZ 85257</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Hometown Ticketing,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4305 W Dublin Granville Rd</w:t>
              <w:br/>
              <w:t>Dublin, OH 43017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25,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24,937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Hospitalists Now,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 Rialto Blvd., Building 1, Suite 140</w:t>
              <w:br/>
              <w:t>Austin, TX 78735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30,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135,807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Hospitalists Now,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Impulse Space,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2651 Manhattan Beach Blvd Redondo Beach, CA 90278</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58,064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Impulse 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4,569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6,947</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97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Incontext Solutions,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 W Adams St, Suite 600</w:t>
              <w:br/>
              <w:t>Chicago, IL 60606</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28,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$220.815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Incontext Solutions,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Inshur,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315 W36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w:t>
              <w:br/>
              <w:t>New York, NY 10018</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$6.05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Inshur,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24,750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Intelligent Brands,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901 Sam Rayburn Hwy.</w:t>
              <w:br/>
              <w:t>Melissa, TX 75454</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Intelligent Brands,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K2View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 Hayetsira Street, 2069202 Yokneam, IL</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252,050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K2View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Kafene,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W 28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Floor 17</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13.0%;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5,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$4.03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44,448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Kafene,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13,099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Knockaway,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309 East Paces Ferry Rd. NE #400</w:t>
              <w:br/>
              <w:t>Atlanta, GA 30305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23,644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20,800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20,016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27,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+ 9.3% or Floor rate 13.8%;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43,603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4.0%;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$85.27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16,350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2033</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2,804,355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457,778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(11)(16)(20)(21)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 Strike Price $0.0001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93,951,849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$0.089896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5,084,804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941" w:type="dxa"/>
        <w:jc w:val="left"/>
        <w:tblInd w:w="0" w:type="dxa"/>
        <w:tblLayout w:type="fixed"/>
        <w:tblCellMar>
          <w:top w:w="0" w:type="dxa"/>
          <w:left w:w="0" w:type="dxa"/>
          <w:bottom w:w="0" w:type="dxa"/>
          <w:right w:w="0" w:type="dxa"/>
        </w:tblCellMar>
      </w:tblPr>
      <w:tblGrid>
        <w:gridCol w:w="926"/>
        <w:gridCol w:w="146"/>
        <w:gridCol w:w="76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97,866,510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3,409,997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Knockaway,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68,847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12277 134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Court NE Redmond, WA 98052</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7,834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3,995,407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16,130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Lark Technologies,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2570 W. El Camino Real, Suite 100</w:t>
              <w:br/>
              <w:t>Mountain View, CA 94040</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76,231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79,325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$2.49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Lark Technologies,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Lendflow,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 Rio Grande St BLDG B STE 110, Austin, TX 78705</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12.0%; EOT 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24,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Lendflow,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3,837</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Lightforce Orthodontics,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Ave Burlington, MA 01803</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28,190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62,627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Lightforce Orthodontics,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32,998</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Lucidworks,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340 Brannan St., </w:t>
              <w:br/>
              <w:t>Suite 400</w:t>
              <w:br/>
              <w:t>San Francisco, CA 94107</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$0.77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619,435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981"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01"/>
        <w:gridCol w:w="191"/>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Macrofab,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Supply Chain </w:t>
              <w:br/>
              <w:t>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W Governors Cir., Ste F Houston, TX 77092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20,279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18,906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Macrofab,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19,218</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 Shotweel St. San Francisco, CA 94110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23,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194,553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18,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Mainspring Energy,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Haven Ave. Menlo Park, CA 94025</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9,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20,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137,692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Mainspring Energy,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Maple Raptor Acquisition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40b Front Street S Thorold, ON L2V 1W9 Canada</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26,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CORRA 3 Month Term + 9.4%;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19,856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(7)(9)(19)</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Maxwell Financial Labs,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518 17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950 Denver, CO 80202</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15,418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8,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106,735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110,860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79,135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308,162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84,998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229,972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Maxwell Financial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15,187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17,141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150" w:type="dxa"/>
        <w:jc w:val="left"/>
        <w:tblInd w:w="0" w:type="dxa"/>
        <w:tblLayout w:type="fixed"/>
        <w:tblCellMar>
          <w:top w:w="0" w:type="dxa"/>
          <w:left w:w="0" w:type="dxa"/>
          <w:bottom w:w="0" w:type="dxa"/>
          <w:right w:w="0" w:type="dxa"/>
        </w:tblCellMar>
      </w:tblPr>
      <w:tblGrid>
        <w:gridCol w:w="901"/>
        <w:gridCol w:w="146"/>
        <w:gridCol w:w="94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10004 Park Meadows Dr., Suite 214 Alone Tree, CO 80124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130,853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17,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21,444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1905 15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#338 Boulder, CO 80306 Mesa Financial,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+ 10.3% or Floor rate 13.0%;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62422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Financing I, LLC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3018 Sunbridge Dr BLDG 9 Austin, TX 78741 Mesa Financing I, LLC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22519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Metabolon,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 Davis Drive, Suite 100 Morrisville, NC 27560</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43,793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2288461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384615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192308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Metabolon,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51,444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51,519</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Moxe Health Corporation</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 North Henry St., Ste. #3003 Madison, WI 53703</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$3.62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Moxe Health Corporation</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12,621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405" w:type="dxa"/>
        <w:jc w:val="left"/>
        <w:tblInd w:w="0" w:type="dxa"/>
        <w:tblLayout w:type="fixed"/>
        <w:tblCellMar>
          <w:top w:w="0" w:type="dxa"/>
          <w:left w:w="0" w:type="dxa"/>
          <w:bottom w:w="0" w:type="dxa"/>
          <w:right w:w="0" w:type="dxa"/>
        </w:tblCellMar>
      </w:tblPr>
      <w:tblGrid>
        <w:gridCol w:w="901"/>
        <w:gridCol w:w="146"/>
        <w:gridCol w:w="118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Neurolens,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1234 Lakeshore Dr., Ste. 200 Coppell, TX 75019</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20,685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Neurolens,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34,981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35,722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Neuros Medical, Inc.</w:t>
            </w:r>
          </w:p>
        </w:tc>
        <w:tc>
          <w:tcPr>
            <w:tcW w:w="146" w:type="dxa"/>
            <w:tcBorders/>
          </w:tcPr>
          <w:p>
            <w:pPr>
              <w:pStyle w:val="TableContents"/>
              <w:bidi w:val="0"/>
              <w:spacing w:before="0" w:after="283"/>
              <w:jc w:val="left"/>
              <w:rPr/>
            </w:pPr>
            <w:r>
              <w:rPr/>
              <w:t> </w:t>
            </w:r>
          </w:p>
        </w:tc>
        <w:tc>
          <w:tcPr>
            <w:tcW w:w="118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26800 Aliso Viego Parkway, Ste. 250 Aliso Vieo, CA 926656</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798,085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$0.3759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399,042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Neuros Medical,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9,182</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595 Burrard St., PO Box 49369 Vancouver, BC, V7X 1L4, CANADA</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NextCar Holding Company,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225 Santa Monica Blvd., 12</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Santa Monica, CA 90401</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2,688,971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6,211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16,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Stock; Strike Price $0.2212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1,224,752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18,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5,336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NextCar Holding Company,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26,496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6,316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80"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021"/>
        <w:gridCol w:w="146"/>
        <w:gridCol w:w="766"/>
        <w:gridCol w:w="146"/>
        <w:gridCol w:w="811"/>
        <w:gridCol w:w="146"/>
        <w:gridCol w:w="946"/>
        <w:gridCol w:w="146"/>
        <w:gridCol w:w="1006"/>
        <w:gridCol w:w="146"/>
        <w:gridCol w:w="601"/>
        <w:gridCol w:w="146"/>
        <w:gridCol w:w="616"/>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 Madison Avenue, Suite 5A New York, NY 10017</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9.3%;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33,056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34,088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(7)(13)(14)</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37,920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35,088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27,726</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 Harbour Place Drive, Suite 340 Davidson, NC 28036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1,830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1,805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Ogee,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Lawson Lane, Ste. 130 Burlington, VT 05401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Ogee,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14,443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Okami Medical,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 Argonaut, Suite 100 Aliso Viejo, CA 92656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F-1; Strike Price $2.855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Okami Medical,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4,356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4,377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Openly Holdings Corp.</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131 Dartmouth St,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02116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44,725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+ 10.0% or Floor rate 17.0%;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97060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30,694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25,104</w:t>
            </w:r>
          </w:p>
        </w:tc>
        <w:tc>
          <w:tcPr>
            <w:tcW w:w="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8"/>
              </w:rPr>
            </w:pPr>
            <w:r>
              <w:rPr>
                <w:rFonts w:ascii="Times New Roman PS Std;serif" w:hAnsi="Times New Roman PS Std;serif"/>
                <w:b w:val="false"/>
                <w:i w:val="false"/>
                <w:caps w:val="false"/>
                <w:smallCaps w:val="false"/>
                <w:sz w:val="8"/>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85" w:type="dxa"/>
        <w:jc w:val="left"/>
        <w:tblInd w:w="0" w:type="dxa"/>
        <w:tblLayout w:type="fixed"/>
        <w:tblCellMar>
          <w:top w:w="0" w:type="dxa"/>
          <w:left w:w="0" w:type="dxa"/>
          <w:bottom w:w="0" w:type="dxa"/>
          <w:right w:w="0" w:type="dxa"/>
        </w:tblCellMar>
      </w:tblPr>
      <w:tblGrid>
        <w:gridCol w:w="1091"/>
        <w:gridCol w:w="146"/>
        <w:gridCol w:w="1156"/>
        <w:gridCol w:w="146"/>
        <w:gridCol w:w="1021"/>
        <w:gridCol w:w="146"/>
        <w:gridCol w:w="1111"/>
        <w:gridCol w:w="146"/>
        <w:gridCol w:w="766"/>
        <w:gridCol w:w="146"/>
        <w:gridCol w:w="811"/>
        <w:gridCol w:w="146"/>
        <w:gridCol w:w="946"/>
        <w:gridCol w:w="146"/>
        <w:gridCol w:w="1006"/>
        <w:gridCol w:w="146"/>
        <w:gridCol w:w="601"/>
        <w:gridCol w:w="146"/>
        <w:gridCol w:w="616"/>
        <w:gridCol w:w="946"/>
      </w:tblGrid>
      <w:tr>
        <w:trPr/>
        <w:tc>
          <w:tcPr>
            <w:tcW w:w="1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 Howard St. Suite 1500 San Francisco, CA 94105</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25,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13.8%;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16,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25,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37,587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37,474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37,846</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PatientFi,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PO Box 50903 Irvine, CA 92619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10.5%;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9,203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$3.1018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100,586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PatientFi,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9,439</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Paytient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Endeavor Ave, Suite 109 Columbia, MO 65201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45,141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Paytient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11,527</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PebblePost,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400 Lafayette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657,343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Pendulum Therapeutics,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933 20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4,170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9,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15,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1835"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11"/>
        <w:gridCol w:w="146"/>
        <w:gridCol w:w="826"/>
        <w:gridCol w:w="146"/>
        <w:gridCol w:w="811"/>
        <w:gridCol w:w="146"/>
        <w:gridCol w:w="94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$3.2427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322,251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5, 2034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1,143,690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914,565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Pendulum Therapeutics,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27,425</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1475 Veterans Blvd.</w:t>
              <w:br/>
              <w:t>Redwood City, CA 94063</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99,148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256,291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 Green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w:t>
              <w:br/>
              <w:t>San Francisco, CA 94111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211,649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180,340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4,383,497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3,401,678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6,633,486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3,129,887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Quip NYC,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45 Main St., </w:t>
              <w:br/>
              <w:t>Suite 630 </w:t>
              <w:br/>
              <w:t>Brooklyn, NY 11201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9,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$48.46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Quip NYC,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6,135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Rarefied Atmosphere,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2043 S Lamar Blvd Austin, </w:t>
              <w:br/>
              <w:t>TX 78704</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6, 2037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207,076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Rarefied Atmosphere,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49,237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49,352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Realty Mogul, Co.</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10573 W Pico Blvd.</w:t>
              <w:br/>
              <w:t>Los Angeles, CA 90064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$0.9529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954,979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Renalogic Holdings,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 W Jackson Blvd, Suite 604 Chicago, IL 60606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5" w:type="dxa"/>
        <w:jc w:val="left"/>
        <w:tblInd w:w="0" w:type="dxa"/>
        <w:tblLayout w:type="fixed"/>
        <w:tblCellMar>
          <w:top w:w="0" w:type="dxa"/>
          <w:left w:w="0" w:type="dxa"/>
          <w:bottom w:w="0" w:type="dxa"/>
          <w:right w:w="0" w:type="dxa"/>
        </w:tblCellMar>
      </w:tblPr>
      <w:tblGrid>
        <w:gridCol w:w="901"/>
        <w:gridCol w:w="146"/>
        <w:gridCol w:w="1576"/>
        <w:gridCol w:w="146"/>
        <w:gridCol w:w="1021"/>
        <w:gridCol w:w="146"/>
        <w:gridCol w:w="1171"/>
        <w:gridCol w:w="146"/>
        <w:gridCol w:w="87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Reciprocity,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755 Sansome St., 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 xml:space="preserve">Floor </w:t>
              <w:br/>
              <w:t>San Francisco, CA 94111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25,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2031</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57,195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Reciprocity,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Restor3d,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4001 E. NC 54 Highway, Suite 3160 Durham, NC 27709</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4,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12.3%; EOT 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$5.01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95,688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Restor3d,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12,171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Rinse,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 Brannon St. Ste 207</w:t>
              <w:br/>
              <w:t>San Francisco, CA 94103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278,761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Rinse,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8,071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Rocket Lab USA,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3881 McGowen St. Long Beach, CA 90808</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14.8%;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39,083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19,586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19,778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Rocket Lab USA,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57,278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56,837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58,861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RTS Holding,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115 Broadway, 14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w:t>
              <w:br/>
              <w:t>New York, NY 10006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10, 2031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$205.28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$196.5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19,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 Strike Price $203.4728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RTS Holding,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RXAnte,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 Congress St., Suite 803 Portland, ME 04101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50" w:type="dxa"/>
        <w:jc w:val="left"/>
        <w:tblInd w:w="0" w:type="dxa"/>
        <w:tblLayout w:type="fixed"/>
        <w:tblCellMar>
          <w:top w:w="0" w:type="dxa"/>
          <w:left w:w="0" w:type="dxa"/>
          <w:bottom w:w="0" w:type="dxa"/>
          <w:right w:w="0" w:type="dxa"/>
        </w:tblCellMar>
      </w:tblPr>
      <w:tblGrid>
        <w:gridCol w:w="1301"/>
        <w:gridCol w:w="146"/>
        <w:gridCol w:w="100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1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RXAnte,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17,045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17,382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17,684</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 Hammerwood Ave. Sunnyvale, CA 94089</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21,730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12,205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4,489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226</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SeaOn Global,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 E Warner Rd. Tempe, AZ 85284</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Seaon Environmental, LLC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2,992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3,894</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Senior Credit Corp 2022 LLC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5,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Senior Credit Corp 2022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18,407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18,653</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5003 S Miami Blvd Ste 500 Durham, NC 27703</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23,619</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27,312</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Shoulder Innovations,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1535 Steele Ave SW, Suite B Grand Rapids, MI 49507</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$0.54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623,615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Shoulder Innovations, Inc.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11,505</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Silk Technologies, Inc.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620, Needham, </w:t>
              <w:br/>
              <w:t>MA 02494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204,760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Silk Technologies,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16,141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75" w:type="dxa"/>
        <w:jc w:val="left"/>
        <w:tblInd w:w="0" w:type="dxa"/>
        <w:tblLayout w:type="fixed"/>
        <w:tblCellMar>
          <w:top w:w="0" w:type="dxa"/>
          <w:left w:w="0" w:type="dxa"/>
          <w:bottom w:w="0" w:type="dxa"/>
          <w:right w:w="0" w:type="dxa"/>
        </w:tblCellMar>
      </w:tblPr>
      <w:tblGrid>
        <w:gridCol w:w="986"/>
        <w:gridCol w:w="146"/>
        <w:gridCol w:w="1826"/>
        <w:gridCol w:w="146"/>
        <w:gridCol w:w="1021"/>
        <w:gridCol w:w="146"/>
        <w:gridCol w:w="1171"/>
        <w:gridCol w:w="146"/>
        <w:gridCol w:w="112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 Tickets,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15 Hudson Yards, Ste. 72D </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11,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5475 Tech Center Dr. Suite 225 Colorado Springs, CO 80919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14.0%;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12,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24,665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Slope Tech,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5-7 Freelon St. </w:t>
              <w:br/>
              <w:t>San Francisco, CA 94107</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27, 2026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+ 11.8% or Floor rate 11.8%;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14,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Slope Tech,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4,541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Smartly,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2755 Canyon Blvd.</w:t>
              <w:br/>
              <w:t>Boulder, CO 80302</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136,388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48,097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Smartly,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350 10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Suite 101 </w:t>
              <w:br/>
              <w:t>San Diego, CA 92101</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35,227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40,838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40,044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40,608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Sortera Technologies,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5224 Asher Drive, Markle, IN 46770</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11, 2035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44,982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Sortera Technologies,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5,928</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2045"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Perspective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J5-1196 Shuttle Landing Facility </w:t>
              <w:br/>
              <w:t>Kennedy Space Center, FL 32899</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+ 7.8% or Floor rate 11.0%;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 2032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$2.74517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221,280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Space Perspective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2101 Thrift Rd </w:t>
              <w:br/>
              <w:t>Charlotte, NC 28202</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55,818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11,203</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Super73,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16591 Noyes Ave. </w:t>
              <w:br/>
              <w:t>Irvine, CA 92606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177,305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Swimlane,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999 18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St #2201N </w:t>
              <w:br/>
              <w:t>Denver, CO 80202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$0.1918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3,589,055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Swimlane,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18,595</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Tarana Wireless,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590 Alder Dr. </w:t>
              <w:br/>
              <w:t>Milpitas, CA 95035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5,027,629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2,697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23,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2,094,922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611,246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Tarana Wireless,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16,409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18,439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Taysha Gene Therapies,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3000 Pegasus Park Drive, Suite 1430 </w:t>
              <w:br/>
              <w:t>Dallas, TX 75247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12.8%;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30,396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31,049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Fynder Group,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815 W Pershing Rd., Unit 4 Chicago, IL 60609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36,445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Tomorrow Companies,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 Channel Center St. 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02210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The Tomorrow Companies,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00" w:type="dxa"/>
        <w:jc w:val="left"/>
        <w:tblInd w:w="0" w:type="dxa"/>
        <w:tblLayout w:type="fixed"/>
        <w:tblCellMar>
          <w:top w:w="0" w:type="dxa"/>
          <w:left w:w="0" w:type="dxa"/>
          <w:bottom w:w="0" w:type="dxa"/>
          <w:right w:w="0" w:type="dxa"/>
        </w:tblCellMar>
      </w:tblPr>
      <w:tblGrid>
        <w:gridCol w:w="986"/>
        <w:gridCol w:w="146"/>
        <w:gridCol w:w="1376"/>
        <w:gridCol w:w="146"/>
        <w:gridCol w:w="1021"/>
        <w:gridCol w:w="146"/>
        <w:gridCol w:w="1111"/>
        <w:gridCol w:w="146"/>
        <w:gridCol w:w="96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Hudson St., Floor 6 New York, NY 10013</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30,929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29,415</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Trendly,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260 W 35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700 New York, NY 10001</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2026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Trinity Capital Adviser, LLC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8,707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Crosby Street New York, NY 94607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7,297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76,133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14,934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UnTuckIt,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 Greene St. New York, NY 10012</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3,536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Upward Health,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 Arkay Drive, Suite 230 Hauppauge, NY 11788</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763,137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Upward Health,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6,229</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Uveye,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 Frank W Burr Blvd Teaneck, NJ 07666</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17,189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4,653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11.6%;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$4.38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476,031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Uveye,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26,922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27,284</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025" w:type="dxa"/>
        <w:jc w:val="left"/>
        <w:tblInd w:w="0" w:type="dxa"/>
        <w:tblLayout w:type="fixed"/>
        <w:tblCellMar>
          <w:top w:w="0" w:type="dxa"/>
          <w:left w:w="0" w:type="dxa"/>
          <w:bottom w:w="0" w:type="dxa"/>
          <w:right w:w="0" w:type="dxa"/>
        </w:tblCellMar>
      </w:tblPr>
      <w:tblGrid>
        <w:gridCol w:w="1241"/>
        <w:gridCol w:w="146"/>
        <w:gridCol w:w="1376"/>
        <w:gridCol w:w="146"/>
        <w:gridCol w:w="1021"/>
        <w:gridCol w:w="146"/>
        <w:gridCol w:w="1111"/>
        <w:gridCol w:w="146"/>
        <w:gridCol w:w="931"/>
        <w:gridCol w:w="146"/>
        <w:gridCol w:w="811"/>
        <w:gridCol w:w="146"/>
        <w:gridCol w:w="946"/>
        <w:gridCol w:w="146"/>
        <w:gridCol w:w="1006"/>
        <w:gridCol w:w="146"/>
        <w:gridCol w:w="661"/>
        <w:gridCol w:w="146"/>
        <w:gridCol w:w="661"/>
        <w:gridCol w:w="946"/>
      </w:tblGrid>
      <w:tr>
        <w:trPr/>
        <w:tc>
          <w:tcPr>
            <w:tcW w:w="1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Velentium,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7535 West Grand Parkway South Richmond, TX 77407</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5.3%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8,348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$53.4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Velentium,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8,437</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Vertical Communications,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3140 De La Cruz Blvd., Suite 110 </w:t>
              <w:br/>
              <w:t xml:space="preserve">Santa Clara, </w:t>
              <w:br/>
              <w:t>CA 95054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828,479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3,892,485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Vertical Communications,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16,006</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viaPhoton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2640 White Oak Circle, Ste. C </w:t>
              <w:br/>
              <w:t>Aurora, IL 60502</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viaPhoton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Vital Connect,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2870 Zanker Rd, Suite 100 San Jose, CA 95134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27,853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Vital Connect,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35,550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35,475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35,767</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 Connecticut Ave., NW, FL 12 Washington, DC 20036</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10,506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5,192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25, 2035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$0.37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1,580,142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16,044</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Whoop,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1325 Boylston St., #401 Boston, MA 02215</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17, 2033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2,393,845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Wisetack,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460 Brannan St Unit 78384 San Francisco, CA 94107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14, 2034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111,153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Wisetack,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12,280</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13168" w:type="dxa"/>
        <w:jc w:val="left"/>
        <w:tblInd w:w="0" w:type="dxa"/>
        <w:tblLayout w:type="fixed"/>
        <w:tblCellMar>
          <w:top w:w="0" w:type="dxa"/>
          <w:left w:w="0" w:type="dxa"/>
          <w:bottom w:w="0" w:type="dxa"/>
          <w:right w:w="0" w:type="dxa"/>
        </w:tblCellMar>
      </w:tblPr>
      <w:tblGrid>
        <w:gridCol w:w="1346"/>
        <w:gridCol w:w="146"/>
        <w:gridCol w:w="1246"/>
        <w:gridCol w:w="146"/>
        <w:gridCol w:w="1021"/>
        <w:gridCol w:w="146"/>
        <w:gridCol w:w="1171"/>
        <w:gridCol w:w="146"/>
        <w:gridCol w:w="931"/>
        <w:gridCol w:w="146"/>
        <w:gridCol w:w="811"/>
        <w:gridCol w:w="146"/>
        <w:gridCol w:w="946"/>
        <w:gridCol w:w="146"/>
        <w:gridCol w:w="1006"/>
        <w:gridCol w:w="146"/>
        <w:gridCol w:w="256"/>
        <w:gridCol w:w="886"/>
        <w:gridCol w:w="146"/>
        <w:gridCol w:w="256"/>
        <w:gridCol w:w="886"/>
        <w:gridCol w:w="901"/>
        <w:gridCol w:w="191"/>
      </w:tblGrid>
      <w:tr>
        <w:trPr/>
        <w:tc>
          <w:tcPr>
            <w:tcW w:w="1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WorkWell Prevention &amp; Care</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 E. Superior, Suite 410 Duluth, MN 55802</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P</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3,219</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WorkWell Prevention &amp; Care</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Xytech Systems, LLC</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9410 Topanga Canyon Blvd, Suite 200 Chatsworth, CA 91311</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26, 2030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39,579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(7)(18)(19)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Yellowbrick, Inc.</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3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15 W. 38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7,875</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7,171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2028</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Common Stock; </w:t>
              <w:br/>
              <w:t>Strike Price $0.9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222,222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Qubed, Inc. dba Yellowbrick</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10,620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9,566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Zandivio PLC</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CALLE CALABRIA, 169 Barcelona, Spain 08015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+ 5.3% or Floor rate 13.8%;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28,051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29,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132,042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Zandivio PLC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28,428</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28,762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Zero Acre Farms, Inc.</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1900 Alameda De Las Pulgas, Ste 150 San Mateo, CA 94403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$2.13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Zuum Transportation, Inc.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 Innovation Dr., Ste 100 Irvine, CA 92617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4,902</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41,271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Zuum Transportation, Inc.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4,997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4,636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Investment in Securities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2,000,938</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1,978,330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portfolio companies are located in North America or Europe. As of June 30, 2025, Trinity Capital Inc. (the “Company”) had eight foreign domiciled portfolio companies, four of which are based in Canada and four of which are based in Europe. In total, these foreign domiciled portfolio investments represent 13.8% of total net asset value based on fair value.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All debt investments are income producing unless otherwise noted. All equity and warrant investments are non-income producing unless otherwise noted. Equipment financed under our equipment financing investments relates to operational equipment essential to revenue production for the portfolio company in the industry noted.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Interest rate is the fixed or variable rate of the debt investments and does not include any original issue discount, end-of-term (“EOT”) payment, or additional fees related to such investments, such as deferred interest, commitment fees, prepayment fees or exit fees. EOT payments are contractual payments due in cash at the maturity date of the loan, including upon prepayment, and are a fixed rate determined at the inception of the loan. At the end of the term of certain equipment financings, the borrower has the option to purchase the underlying assets at fair value, generally subject to a cap, or return the equipment and pay a restocking fee. The fair values of the financed assets have been estimated as a percentage of original cost for purpose of the EOT payment value. The EOT payment is amortized and recognized as non-cash income over the term of the loan or equipment financing prior to its payment and is included as a component of the cost basis of the Company’s current debt securities.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Principal is net of repayments, if any, as per the terms of the debt instrument’s contract.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Except as noted, all investments were valued at fair value as determined in good faith by the Company’s Board of Directors (the “Board”) using Level 3 inputs.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Asset is valued at fair value as determined in good faith by the Company’s Board using Level 1 and Level 2 inputs.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interest rate on variable interest rate investments represents a benchmark rate plus spread. The benchmark interest rate is subject to an interest rate floor. As of June 30, 2025, the U.S. Prime Rate (“Prime”) was 7.50%, the Secured Overnight Financing Rate (“SOFR”) 30 Day Forward Rate was 4.32%, the SOFR 3-Month Term Rate was 4.28%, and the Canadian Overnight Repo Rate Average (“CORRA”) 3-Month Term rate was 2.68%.</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Senior Credit Corp 2022 LLC owns an additional portion of this security.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Indicates a “non-qualifying asset” under section 55(a) of the Investment Company Act of 1940, as amended (the “1940 Act”). The Company’s percentage of non-qualifying assets at fair value represents 17.7% of the Company’s total assets as of June 30, 2025. Qualifying assets must represent at least 70% of the Company’s total assets at the time of acquisition of any additional non-qualifying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Investment has zero cost basis as it was purchased at a fair value of zero as part of the Company’s formation transactions (the “Formation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Investment is a secured loan warehouse facility collateralized by interest in specific assets that meet the eligibility requirements under the facility during the warehouse period. Repayment of the facility will occur over the amortizing period unless otherwise prepaid.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Company has been issued warrants with pricing and number of shares dependent upon a future round of equity issuance by the portfolio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Investment is pledged as collateral supporting amounts outstanding under the Company’s credit facility with KeyBank, National Association (the “KeyBank Credit Facility”).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Interest on this loan includes a payment-in-kind (“PIK”) provision. Contractual PIK interest, which represents contractually deferred interest added to the loan balance that is generally collected through amortization, is recorded on an accrual basis to the extent such amounts are expected to be collected.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Convertible notes represent investments through which the Company will participate in future equity rounds at preferential rates. There are no principal or interest payments made against the note unless conversion does not occur.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Preferred stock represents investments through which the Company will have preference in liquidation rights and do not contain any cumulative preferred dividends.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Investment is on non-accrual status as of June 30, 2025 and is therefore considered non-income producing.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EPT 16 LLC owns an additional portion of this security.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Investment has an unfunded commitment as of June 30, 2025. The fair value of the investment includes the impact of the fair value of any unfunded commitments.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Borrower is a wholly owned, special purpose vehicle subsidiary of named portfolio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This investment is deemed to be a “Control Investment” or an “Affiliate Investment.” The Company classifies its investment portfolio in accordance with the requirements of the 1940 Act. The 1940 Act defines Control Investments as investments in companies in which the Company owns beneficially, either directly or indirectly, more than 25% of the voting securities, or maintains greater than 50% of the board representation. Affiliate Investments are defined by the 1940 Act as investments in companies in which the Company owns beneficially, either directly or indirectly, between 5% and 25% (inclusive) of the voting securities and does not have rights to maintain greater than 50% of the board representation.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9912"/>
      <w:bookmarkEnd w:id="25"/>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“Corporate Governance” in our most recent definitive proxy statement on Schedule 14A for our annual meeting of stockholders (the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9913"/>
      <w:bookmarkEnd w:id="26"/>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“Executive Compensation” and “Director Compensation” in our most recent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14"/>
      <w:bookmarkEnd w:id="27"/>
      <w:r>
        <w:rPr>
          <w:rFonts w:ascii="Times New Roman PS Std;serif" w:hAnsi="Times New Roman PS Std;serif"/>
          <w:b/>
          <w:i w:val="false"/>
          <w:caps w:val="false"/>
          <w:smallCaps w:val="false"/>
          <w:sz w:val="20"/>
        </w:rPr>
        <w:t xml:space="preserve">CERTAIN RELATIONSHIPS AND RELATED-PARTY TRANSACTIONS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 entitled “Certain Relationships and Related Party Transactions”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15"/>
      <w:bookmarkEnd w:id="28"/>
      <w:r>
        <w:rPr>
          <w:rFonts w:ascii="Times New Roman PS Std;serif" w:hAnsi="Times New Roman PS Std;serif"/>
          <w:b/>
          <w:i w:val="false"/>
          <w:caps w:val="false"/>
          <w:smallCaps w:val="false"/>
          <w:sz w:val="20"/>
        </w:rPr>
        <w:t xml:space="preserve">CONTROL PERSONS AND PRINCIPAL STOCKHOLDERS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“Security Ownership of Management and Certain Beneficial Owners”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16"/>
      <w:bookmarkEnd w:id="29"/>
      <w:r>
        <w:rPr>
          <w:rFonts w:ascii="Times New Roman PS Std;serif" w:hAnsi="Times New Roman PS Std;serif"/>
          <w:b/>
          <w:i w:val="false"/>
          <w:caps w:val="false"/>
          <w:smallCaps w:val="false"/>
          <w:sz w:val="20"/>
        </w:rPr>
        <w:t xml:space="preserve">DETERMINATION OF NET ASSET VALUE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Determinations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quarterly. The net asset value per share is equal to the value of our total assets minus liabilities and any preferred stock outstanding divided by the total number of shares of common stock outstanding at the date as of which the determination is made. As of the date of this prospectus, we do not have any preferred stock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calculate the value of our investments in accordance with the procedures described in “Management’s Discussion and Analysis of Financial Condition and Results of Operations — Valuation of Investments” and “Fair Value of Financial Instruments” in the financial notes of our most recent Annual Report on Form 10-K and our most recent Quarterly Report on Form 10-Q, which are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Determinations in Connection with our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each offering of shares of our common stock, our Board or an authorized committee thereof is required by the 1940 Act to make the determination that we are not selling shares of our common stock at a price below our then current net asset value per share at the time at which the sale is made. Our Board or an authorized committee thereof considers the following factors, among others, in making such determination: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asset value per share of our common stock disclosed in the most recent periodic report we filed with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management’s assessment of whether any material change in the net asset value per share of our common stock has occurred (including through the realization of net gains on the sale of our portfolio investments) during the period beginning on the date of the most recent public filing with the SEC that discloses the net asset value per share of our common stock and ending two days prior to the date of the sale of our common stock;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magnitude of the difference between the offering price of the shares of our common stock in the proposed offering and management’s assessment of any material change in the net asset value per share of our common stock during the period discussed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there is a possibility that we may (i) issue shares of our common stock at a price per share below the then-current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fluctuates by certain amounts in certain circumstances until the prospectus is amended or supplemented, our Board or an authorized committee thereof will elect, in the case of clause (i) above, either to postpone the offering until such time that there is no longer the possibility of the occurrence of such event or to undertake to determine the net asset value per share within two days prior to any such sale to ensure that such sale will not be below our then current net asset value per share, and, in the case of clause (ii) above, to comply with such undertaking or to undertake to determine the net asset value per share to ensure that such undertaking has not been triggered.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processes and procedures are part of our compliance policies and procedures. Records are made contemporaneously with all determinations described in this section and these records are maintained with other records we are required to maintain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9917"/>
      <w:bookmarkEnd w:id="30"/>
      <w:r>
        <w:rPr>
          <w:rFonts w:ascii="Times New Roman PS Std;serif" w:hAnsi="Times New Roman PS Std;serif"/>
          <w:b/>
          <w:i w:val="false"/>
          <w:caps w:val="false"/>
          <w:smallCaps w:val="false"/>
          <w:sz w:val="20"/>
        </w:rPr>
        <w:t xml:space="preserve">SALES OF COMMON STOCK BELOW NET ASSET VALUE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(i) in 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sell shares of common stock below net asset value per share in connection with a rights offering to our existing stockholders, such offering will be designed to raise capital for investment in accordance with our investment objective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us of our common stock at a discount from net asset value pose potential risks for our existing stockholders whether or not they participate in the offering, as well as for new investors who participate in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9918"/>
      <w:bookmarkEnd w:id="31"/>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as amended and restated, that provides for the reinvestment of our stockholder distributions, unless a stockholder elects to receive cash as provided below. As a result, if our Board declares a cash distribution, then our stockholders who have not “opted out” of such distribution reinvestment plan will have their cash distribution automatically reinvested in additional shares of our common stock, rather than receiving the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required on the part of a registered stockholder to have its cash distribution reinvested in shares of our common stock. Equiniti Trust Company, LLC (formerly American Stock Transfer &amp; Trust Company, LLC), the plan administrator (the “Plan Administrator”), and our transfer and dividend paying agent and registrar will set up an account for shares acquired through the plan for each stockholder and hold such shares in non-certificated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registered stockholder may elect to receive an entire distribution in cash by notifying the Plan Administrator in writing so that such notice is received by the Plan Administrator no later than three (3) days prior to the payment date for the applicable distributions to stockholders. Such election will remain in effect until the stockholder notifies the Plan Administrator in writing of such stockholder’s desire to change its election, which notice must be delivered to the Plan Administrator no later than three (3) days prior to the payment date for the first distribution for which such stockholder wishes its new election to take effect. Upon request by a stockholder participating in the plan to opt out of the plan, received in writing not less than three (3) days prior to the payment date for the applicable distributions to stockholders, the Plan Administrator will, instead of crediting shares to the participant’s account, issue a check for the cash distribution. Those stockholders whose shares are held by a broker or other financial intermediary may receive distributions in cash by notifying their broker or nominee of their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brokerage charges or other charges to stockholders who participate in the plan. The Plan Administrator’s fees are paid by us. If a participant elects by written notice to the Plan Administrator prior to termination of his or her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generally subject to the same U.S. federal, state and local tax consequences as are stockholders who elect to receive their distributions in cash. However, since a participating stockholder’s cash distributions are reinvested, such stockholder does not receive cash with which to pay any applicable taxes on reinvested distributions. A stockholder’s tax basis in the stock received in a distribution from us is generally equal to the amount of the reinvested distribution. Any stock received in a distribution has a new holding period, for U.S. federal income tax purposes, commencing on the day following the day on which the shares are credited to the U.S. stockholder’s account.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Participants may terminate their accounts under the plan by notifying the Plan Administrator by filling out the transaction request form located at the bottom of the participant’s statement and sending it to the Plan Administrator at the address below. Those stockholders whose shares are held by a broker or other nominee who wish to terminate his or her account under the plan may do so by notifying his or her broker or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may be terminated by us upon notice in writing mailed to each participant at least 30 days prior to the termination date. All correspondence concerning the plan should be directed to the Plan Administrator by mail at Plan Administrator c/o Equiniti Trust Company, LLC, 6201 15th Avenue, Brooklyn, NY 11219, telephone number: (718) 921-8200.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withdraw or the plan is terminated, you will receive the number of whole shares in your account under the plan and a cash payment for any fraction of a share in your account.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9919"/>
      <w:bookmarkEnd w:id="32"/>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the shares of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shares of our common stock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stockholders hold our common stock as capital assets (within the meaning of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upon the Code, Treasury regulations,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regarding any matter discussed herein. Prospective investors should be aware that, although we intend to adopt positions we believe are in accord with current interpretations of the U.S. federal income tax laws, the Internal Revenue Service (“IRS”) may not agree with the tax positions taken by us and that, if challenged by the IRS, our tax positions might not be sustained by the courts. This summary does not discuss any aspects of U.S. estate, alternative minimum, or gift tax or foreign, state or local tax. It also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Stockholder” generally is a beneficial owner of the Company’s common stock that is for U.S.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is subject to the supervision of a court within the U.S. and the control of one or more U.S. persons or that has a valid election in effect under applicable U.S. Treasury Regulations to be treated as a U.S. person;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is a beneficial owner of our common stock that is neither a U.S. Stockholder nor a partnership for U.S.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Any partner of a partnership holding shares of our common stock should consult its tax advisers with respect to the purchase, ownership and disposition of such shares of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very complicated and the tax consequences to an investor of an investment in shares of our common stock will depend on the facts of his, her or its particular situation.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as a Regulated Investment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elected to be treated, and intend to qualify each year, as a RIC. As a RIC, we generally will not have to pay corporate-level U.S. federal income taxes on any ordinary income or capital gains that we timely distribute to stockholders as distributions. To qualify as a RIC, we must, among other things, meet certain source-of-income and asset diversification requirements (as described below). In addition, in order to obtain RIC tax benefits, we must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timely distribute to stockholders, for each taxable year, at least 90% of our “investment company taxable income,” which is generally its ordinary income plus the excess of realized net short-term capital gains over realized net long-term capital losses (the “Annual Distribution Requirement”).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qualify as a RIC;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Annual Distribution Requirement,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we will not be subject to U.S. federal income tax on the portion of income we timely distribute (or are deemed to distribute) to stockholders. We will be subject to U.S. federal income tax at the regular corporate rates on any income or capital gains not distributed (or deemed distributed) to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(i) 98% of net ordinary income for each calendar year, (ii) 98.2% of capital gain net income (adjusted for certain ordinary losses) for the one-year period ending October 31 in that calendar year and (iii) any net ordinary income and capital gain net income that we recognized in preceding years, but were not distributed during such years, and on which we paid no U.S. federal income tax (the “Excise Tax Avoidance Requirement”). While we intend to distribute any net ordinary income and capital gain net income in order to avoid imposition of this 4% U.S. federal excise tax, we may not be successful in avoiding entirely the imposition of this tax. In that case, we will be liable for the tax only on the amount by which we do not meet the foregoing distribution requirement.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qualify as a BDC under the 1940 Act at all times during each taxable year;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gross income from dividends, interest, payments with respect to loans of certain securities, gains from the sale of stock or other securities or foreign currencies, net income from certain “qualified publicly traded partnerships,” or other income derived with respect to the business of investing in such stock or securities (the “90% Income Test”);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the (i) securities, other than U.S. government securities or securities of other RICs, of one issuer, (ii) securities, other than securities of other RICs, of two or more issuers that are controlled, as determined under applicable Code rules, by us and that are engaged in the same or similar or related trades or businesses or (iii) securities of one or more “qualified publicly traded partnerships” (the “Diversification Tests”).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(such as debt instruments with payment-in-kind, or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and deferred loan origination fees that are paid after origination of the loan. Because any original issue discount or other amounts accrued will be included in our investment company taxable income for the year of accrual, we may be required to make a distribution to stockholders in order to satisfy the Annual Distribution Requirement, even though we will not have received the corresponding cash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to sell assets and to make taxable distributions of our stock and debt securities in order to satisfy distribution requirements. Our ability to dispose of assets to meet distribution requirements may be limited by (i) the illiquid nature of our portfolio and/or (ii)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maintain our qualification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not permitted to make distributions to our stockholders while debt obligations and other senior securities are outstanding unless certain “asset coverage” tests are met. In addition, we may be prohibited under the terms of our credit facilities from making distributions unless certain conditions are satisfied. If we are prohibited from making distributions, we may fail to qualify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income and fees that we may recognize, such as fees for providing managerial assistance, certain fees earned with respect to our investments, income recognized in a work-out or restructuring of a portfolio investment, or income recognized from an equity investment in an operating partnership, will not satisfy the 90% Income 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portfolio company in which we invest may face financial difficulties that require us to work-out, modify or otherwise restructure our investment in the portfolio company. Any such transaction could, depending upon the specific terms of the transaction, result in unusable capital losses and future non-cash income. Any such transaction could also result in our receiving assets that give rise to income that is not qualifying income for purposes of the 90% Income 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decisions in order to mitigate the potential adverse effect of these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stockholders even if such income is greater than the aggregate net income we actually earned during those years. Such required distributions may be made from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can be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purchase shares in a “passive foreign investment company,” or PFIC,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or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will be “good income” for purposes of the 90% Income Test provided that they are derived in connection with our business of investing in stocks and securities or the QEF distributes such income to us in the same taxable year to which the income is included in our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“good income” from which a RIC must derive at least 90% Income Test.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Qualify as a RIC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we would be subject to U.S. federal income tax on such income at regular corporate rates (and also would be subject to any applicable state and local taxes), regardless of whether we make any distributions to stockholders. We would not be able to deduct distributions to stockholders, nor would distributions be required to be made. Distributions, including distributions of net long-term capital gain, would generally be taxable to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distributions as “qualified dividend income,” which is subject to reduced rates of U.S. federal income tax. Distributions in excess of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we would be required to distribute all previously undistributed earnings attributable to the period we failed to qualify as a RIC by the end of the first year that we intend to requalify as a RIC. If we fail to requalify as a RIC for a period greater than two taxable years, we may be subject to U.S. federal income tax at regular corporate rates on any net built-in gains with respect to certain assets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for each taxable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Distributions by us generally are taxable to U.S. Stockholders as ordinary income or capital gains. Distributions of “investment company taxable income” (which is, generally,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shares of our common stock. To the extent such distributions paid by us to non-corporate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are attributable to dividends from U.S. corporations and certain qualified foreign corporations, such distributions (“Qualifying Dividends”) may be eligible for a current maximum tax rate of 20%. In this regard, it is anticipated that distributions paid by us should not be attributable to dividends and, therefore, generally will not qualify for the 20% maximum rate applicable to Qualifying Dividends. Distributions of net capital gains (which are generally our realized net long-term capital gains in excess of realized net short-term capital losses) properly reported by us as “capital gain dividends” will be taxable to a U.S. Stockholder as long-term capital gains that are currently taxable at a maximum rate of 20% in the case of stockholders taxed at individual rates, regardless of the U.S. Stockholder’s holding period for his, her or its shares of our common stock and regardless of whether paid in cash or reinvested in additional common stock. Distributions in excess of earnings and profits first will reduce a U.S. Stockholder’s adjusted tax basis in such stockholder’s shares of our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tax such stockholder owes on the capital gain distribution, such excess generally may be refunded or claimed as a credit against the U.S. Stockholder’s other U.S. federal income tax obligations. The amount of the deemed distribution net of such tax will be added to the U.S. Stockholder’s adjusted tax basis for his, her or its shares of our common stock. In order to utilize the deemed distribution approach, we must provide written notice to stockholders prior to the expiration of 60 days after the close of the relevant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certain applicable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stockholders receiving such distributions will be required to include the full amount of the dividend as ordinary income (or as long-term capital gain or qualified dividend income to the extent such distribution is properly reported as such) to the extent of our current and accumulated earnings and profits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receiving distributions in the form of our common stock, a U.S. stockholder may be required to pay U.S. federal income tax with respect to such distributions in excess of any cash received. If a U.S. stockholder sells the stock such stockholder receives as a dividend in order to pay this tax, the sales proceeds may be less than the amount included in income with respect to the dividend, depending on the market price of our stock at the time of the sale. In addition, if a significant number of our stockholders determine to sell shares of our stock in order to pay U.S. federal income taxes owed on distributions, it may put downward pressure on the trading price of shares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 currently have no intention of paying dividends in shares of our stock, we could in the future choose to pay a portion of our dividends in shares of our common stock in accordance with these Treasury regulations and the revenue procedure in order to satisfy the Annual Distribution Requirement or the Excise Tax Avoidance Requirement or to eliminate our liability for corporate-level U.S.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(i) whether the Annual Distribution Requirement is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our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U.S. Stockholder owns shares of our common stock registered in its own name, the U.S. Stockholder will have all cash distributions automatically reinvested in additional shares of our common stock if the U.S. Stockholder does not “opt out” of the reinvestment of distributions by delivering a written notice to us prior to the record date of the next dividend or distribution. Any distributions reinvested will nevertheless remain taxable to the U.S. Stockholder. The U.S. Stockholder will have an adjusted tax basis in the additional shares of our common stock purchased through the reinvestment equal to the amount of the reinvested distribution. The additional shares of our common stock will have a new holding period commencing on the day following the day on which the shares of our common stock are credited to the U.S. Stockholder’s account.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of our common stock will include the value of the distribution. However, the stockholder will be taxed on the distribution as described above, despite the fact that, economically, it may represent a return of his, her or its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shares of our common stock sold and the amount of the proceeds received in exchange. Any gain arising from such sale or disposition generally will be treated as long-term capital gain or loss if the U.S. Stockholder has held his, her or its shares of our common stock for more than one year. Otherwise, it will be classified as short-term capital gain or loss. However, any capital loss arising from the sale or disposition of shares held for six months or less will be treated as long-term capital loss to the extent of the amount of capital gain dividends received, or undistributed capital gain deemed received, with respect to such shares of our common stock.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U.S. Stockholders taxed at individual rates currently are subject to a maximum U.S. federal income tax rate of 20% on their recognized net capital gain (i.e., the excess of recognized net long-term capital gains over recognized net short-term capital losses, subject to certain adjustments), including any long-term capital gain derived from an investment in shares of our common stock. Such rate is lower than the maximum rate on ordinary income currently payable by such U.S. Stockholders. In addition, individuals with modified adjusted gross incomes in excess of $200,000 ($250,000 in the case of married individuals filing jointly) and certain estates and trusts are subject to an additional 3.8% tax on their “net investment income,” which generally includes gross income from interest, dividends, annuities, royalties, and rents, and net capital gains (other than certain amounts earned from trades or businesses), reduced by certain deductions allocable to such income.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each year. Any net capital losses of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Code requires reporting of adjusted cost basis information for covered securities, which generally include shares of a RIC, to the IRS and to taxpayers. Stockholders should contact their financial intermediaries with respect to reporting of cost basis and available elections for their accounts.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Stockholder recognizes a loss with respect to shares of our common stock of $2 million or more for a non-corporate U.S. Stockholder in any single taxable year (or a $4 million loss over a combination of years) or $10 million or more for a corporate U.S. Stockholder in any single taxable year (or a $20 million loss over a combination of years), the U.S. Stockholder must file with the IRS a disclosure statement on Form 8886. Direct 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send to each of its U.S. Stockholders,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distributions, if any, eligible for the 20% maximum rate). Distributions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certain U.S. Stockholders (i) who fail to furnish us with a correct taxpayer identification number or a certificate that such stockholder is exempt from backup withholding or (ii) with respect to whom the IRS notifies us that such stockholder furnished an incorrect taxpayer identification number or failed to properly report certain interest and dividend income to the IRS and to respond to notices to that effect. An individual’s taxpayer identification number generally is his or her social security number. Any amount withheld under backup withholding is allowed as a credit against the U.S. Stockholder’s U.S. federal income tax liability, provided that proper information is provided to the IRS.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Tax-Exempt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the stockholder’s ownership of our common stock and receipt of distributions with respect to such common stock.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we incur. Legislation has been introduced in Congress in the past, and may be introduced again in the future, which would change the treatment of “blocker” investment vehicles interposed between tax-exempt investors and non-qualifying investments if enacted. In the event that any such proposals were to be adopted and applied to RICs, the treatment of distributions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only applies to certain Non-U.S. Stockholders. Whether an investment in the shares of our common stock is appropriate for a Non-U.S. Stockholder will depend upon that person’s particular circumstances. An investment in the shares of our common stock by a Non-U.S. Stockholder may have adverse tax consequences. Non-U.S. Stockholders should consult their tax advisers before investing in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“investment company taxable income” to Non-U.S. Stockholders (including interest income and realized net short-term capital gains in excess of realized long-term capital losses) will be subject to withholding of U.S. federal tax at a 30% rate (or lower rate provided by an applicable treaty) to the extent of our current and accumulated earnings and profits unless an applicable exception applies. No withholding is required with respect to certain distributions if (i) the distributions are properly reported by us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net capital gains to a Non-U.S. Stockholder, and gains realized by a Non-U.S. Stockholder upon the sale of our common stock, will generally not be subject to federal withholding tax and generally will not be subject to U.S. federal income tax unless the distributions or gains, as the case may be, are effectively connected with a U.S. trade or business of the Non-U.S.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Non-U.S. Stockholder owns shares of our common stock registered in its own name, the Non-U.S. Stockholder will have all cash distributions automatically reinvested in additional shares of our common stock if such stockholder does not “opt out” of the reinvestment of distributions policy by delivering a written notice to us prior to the record date of the next dividend or distribution. If the distribution is a distribution of our investment company taxable income, is not reported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current or accumulated earnings and profits) will be subject to withholding of U.S. federal income tax at a 30% rate (or lower rate provided by an applicable treaty) and only the net after-tax amount will be reinvested in our common stock. The Non-U.S. Stockholder will have an adjusted tax basis in the additional shares of our common stock purchased through the reinvestment equal to the amount reinvested. The additional shares of our common stock will have a new holding period commencing on the day following the day on which the shares of our common stock are credited to the Non-U.S. Stockholder’s account.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net capital gains in the form of deemed rather than actual distributions,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refund claim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of our common stock may not be advisable for a Non-U.S. Stockholder.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generally report to Non-U.S. Stockholders and the IRS the amount of distributions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Backup withholding, however, generally will not apply to distributions to a Non-U.S. Stockholder of our common stock, provided the Non-U.S. Stockholder furnishes to us the required certification as to its non-U.S. status, such as by providing a valid IRS Form W-8BEN, IRS Form W-8BEN-E, or IRS Form W-8ECI,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Stockholders should consult their own tax advisers with respect to the U.S. federal income tax and withholding tax, and state, local and foreign tax consequences of an investment in the shares of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Account Tax Compliance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related laws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transaction activity within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intermediaries through which they hold their shares of our common stock, beneficial owners could be subject to this 30% withholding tax with respect to distributions on their shares of our common stock. Under certain circumstances, a beneficial owner might be eligible for refunds or credits of such taxes.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9920"/>
      <w:bookmarkEnd w:id="33"/>
      <w:r>
        <w:rPr>
          <w:rFonts w:ascii="Times New Roman PS Std;serif" w:hAnsi="Times New Roman PS Std;serif"/>
          <w:b/>
          <w:i w:val="false"/>
          <w:caps w:val="false"/>
          <w:smallCaps w:val="false"/>
          <w:sz w:val="20"/>
        </w:rPr>
        <w:t xml:space="preserve">DESCRIPTION OF OUR CAPITAL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is based on relevant portions of the Maryland General Corporation Law (the “MGCL”) and on our Articles of Amendment and Restatement (the “Charter”) and our Bylaws (“Bylaws”). This summary may not contain all of the information that is important to you, and we refer you to the MGCL and our Charter and Bylaws for a more detailed description of the provisions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our Charter, our authorized capital stock consists of 200,000,000 shares of common stock, par value $0.001 per share, and no shares of preferred stock, par value $0.001 per share. There are no outstanding options or warrants to purchase our stock. Under Maryland law, our stockholders generally are not personally liable for our debts or obligations. Under our Charter, the Board is authorized to classify and reclassify any unissued shares of stock into other classes or series of stock and authorize the issuance of the shares of stock without obtaining stockholder approval. As permitted by the MGCL, our Charter provides that the Board,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our outstanding classes of securities as of June 30, 2025:</w:t>
      </w:r>
    </w:p>
    <w:tbl>
      <w:tblPr>
        <w:tblW w:w="7087" w:type="dxa"/>
        <w:jc w:val="left"/>
        <w:tblInd w:w="0" w:type="dxa"/>
        <w:tblLayout w:type="fixed"/>
        <w:tblCellMar>
          <w:top w:w="0" w:type="dxa"/>
          <w:left w:w="0" w:type="dxa"/>
          <w:bottom w:w="0" w:type="dxa"/>
          <w:right w:w="0" w:type="dxa"/>
        </w:tblCellMar>
      </w:tblPr>
      <w:tblGrid>
        <w:gridCol w:w="1606"/>
        <w:gridCol w:w="146"/>
        <w:gridCol w:w="1366"/>
        <w:gridCol w:w="146"/>
        <w:gridCol w:w="1816"/>
        <w:gridCol w:w="146"/>
        <w:gridCol w:w="186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Authorized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Exclusive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r>
      <w:tr>
        <w:trPr/>
        <w:tc>
          <w:tcPr>
            <w:tcW w:w="1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200,000,000</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69,574,146</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will have equal rights as to earnings, assets, voting, and distributions and other distributions and, when they are issued, will be duly authorized, validly issued, fully paid and nonassessable. Distributions may be paid to the holders of our common stock if, as and when authorized by the Board and declared by us out of funds legally available therefor. The shares of our common stock have no preemptive, exchange,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our common stock is entitled to one vote on all matters submitted to a vote of stockholders, including the election of directors. Except as provided with respect to any other class or series of stock, the holders of our common stock possess exclusive voting power.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the Board to classify and reclassify any unissued shares of stock into other classes or series of stock, including preferred stock. The cost of any such reclassification would be borne by our existing common stockholders. Prior to issuance of shares of each class or series, the Board is required by Maryland law and by our Charter to set the terms, preferences, conversion or other rights, voting powers, restrictions, limitations as to distributions or other distributions, qualifications and terms or conditions of redemption for each class or series. Thus, the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Any issuance of preferred stock must comply with the requirements of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1940 Act limits our flexibility as to certain rights and preferences of the preferred stock that our Charter may provide and requires, among other things, that (1) immediately after issuance and before any dividend or other distribution is made with respect to our common stock and before any purchase of common stock is made,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together with all other senior securities must not exceed an amount equal to 66 2∕3%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and so long as distributions on such preferred stock are in arrears by two full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 However, we do not currently have any plans to issue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any preferred stock must be approved by a majority of the independent directors not otherwise interested in the transaction, who will have access, at our expense, to our legal counsel or to independent legal counsel.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Our Bylaws also provide that, to the maximum extent permitted by Maryland law, with the approval of the Board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our directors and executive officers. The indemnification agreements provide our directors and executive officers the maximum indemnification permitted under Maryland law and the 1940 Act as of the date of such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MGCL and Our Charter and Bylaws; Anti-Takeover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the Board.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currently classified as it is divided into three classes of directors serving staggered three-year terms in which directors of each class are elected to serve for three-year terms with one class of directors elected by stockholders each year. However, commencing as of the date of our 2027 Annual Meeting of Stockholders (the “2027 Annual Meeting”), the Board will cease to be classified and will be de-classified. As a result, the class of directors that stood for election at our 2024 Annual Meeting of Stockholders stood for election for three-year terms, the class of directors that stood for election at our 2025 Annual Meeting of Stockholders stood for election for two-year terms, and the class of directors standing for election at our 2026 Annual Meeting of Stockholders will stand for election for one-year terms, in each case expiring at the 2027 Annual Meeting. Commencing with the 2027 Annual Meeting, the directors elected at the 2027 Annual Meeting (and each meeting thereafter) will be elected for a term expiring at the next Annual Meeting of Stockholders. In all cases, each director will hold office until his or her successor has been elected and qualified or until such director’s earlier death, retirement, resignation or removal.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subject to the special rights of the holders of any class or series of preferred stock to elect directors, each director is elected by a majority of the votes cast with respect to such director’s election, except in the case of a “contested election” (as defined in our Bylaws), in which directors are elected by a plurality of the votes cast in the contested election of directors. There is no cumulative voting in the election of directors. Pursuant to our Charter, the Board may amend the Bylaws to alter the vote required to elect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provides that the number of directors will be set by the Board in accordance with our Bylaws. Our Bylaws provide that a majority of our entire Board may at any time increase or decrease the number of directors. However, unless our Bylaws are amended, the number of directors may never be less the minimum number required by the MGCL or greater than eleven. Our Charter provides that, at such time as we have at least three independent directors and our common stock is registered under the Exchange Act, we elect to be subject to the provision of Subtitle 8 of Title 3 of the MGCL regarding the filling of vacancies on the Board. Accordingly, at such time, except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a director may be removed only for cause, as defined in our Charter, and then only by the affirmative vote of at least three-fourths of the votes entitled to be cast in the election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MGCL, stockholder action can be taken only at an annual or special meeting of stockholders or by unanimous written consent in lieu of a meeting (unless the charter provides for stockholder action by less than unanimous written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with respect to an annual meeting of stockholders, nominations of persons for election to the Board and the proposal of business to be considered by stockholders may be made only (1) pursuant to our notice of the meeting, (2) by the Board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the Board a meaningful opportunity to consider the qualifications of the proposed nominees and the advisability of any other proposed business and, to the extent deemed necessary or desirable by the Board, to inform stockholders and make recommendations about such qualifications or business, as well as to provide a more orderly procedure for conducting meetings of stockholders. Although our Bylaws do not give the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the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dissolution requires the approval of the stockholders entitled to cast at least 80% of the votes entitled to be cast on such matter. However, if such amendment or proposal is approved by 75% or more of our continuing directors (in addition to approval by the Board), such amendment or proposal may be approved by a majority of the votes entitled to be cast on such a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the Board will have the exclusive power to adopt, alter, amend or repeal any provision of our Bylaws and to make new Bylaws.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Acquisition Act discussed below, as permitted by the MGCL, our Charter provides that stockholders will not be entitled to exercise appraisal rights unless a majority of the Board determines such rights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provides that control shares of a Maryland corporation acquired in a control share acquisition have no voting rights except to the extent approved by a vote of two-thirds of the votes entitled to be cast on the matter (the “Control Share Acquisition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one-tenth or more but less than one-third;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Control Share Acquisition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Acquisition Act any and all acquisitions by any person of our shares of stock. Accordingly, we have opted-out of the Control Share Acquisition Act. We can offer no assurance that such provision will not be amended or eliminated at any time in the future. However, we will amend our bylaws to be subject to the Control Share Acquisition Act only if the Board determines that it would be in our best interests, including in light of the Board’s fiduciary obligations, applicable federal and state laws, and the particular facts and circumstances surrounding the Board’s decision.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The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the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the 1940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MGCL,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(i) any derivative action or proceeding brought on behalf of the Company (ii) any action asserting a claim of breach of any standard of conduct or legal duty owed by any of the Company’s director, officer or other agent to the Company or to its stockholders, (iii) any action asserting a claim arising pursuant to any provision of the MGCL or the Charter or the Bylaws (as either may be amended from time to time), or (iv) any action asserting a claim governed by the internal affairs doctrine. This exclusive forum selection provision in our Bylaws does not apply to claims arising under the federal securities laws, including the Securities Act and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a court would enforce such a provision, and investors cannot waive compliance with the federal securities laws and the rules and regulations thereunder. In addition, this provision may increase costs for stockholders in bringing a claim against us or our directors, officers or other agents. Any investor purchasing or otherwise acquiring our shares is deemed to have notice of and consented to the foregoing provision.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forum selection provision in our Bylaws may limit our stockholders’ ability to obtain a favorable judicial forum for disputes with us or our directors, officers or other agents, which may discourage lawsuits against us and such persons. It is also possible that, notwithstanding such exclusive forum selection provision, a court could rule that such provision is inapplicable or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2026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2021, we issued and sold $125 million in aggregate principal amount of our 4.375% Notes due 2026 (the “August 2026 Notes”) under our shelf Registration Statement on Form N-2 (File No. 333-257818) previously filed with the SEC (the “2021 Registration Statement”), as supplemented by a preliminary prospectus supplement dated August 19, 2021, a final prospectus supplement dated August 19, 2021, and a pricing term sheet dated August 19,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were issued pursuant to an indenture, dated as of January 16, 2020, between the Company and U.S. Bank Trust Company, National Association (the “Trustee” and such indenture, the “Base Indenture”) and a Third Supplemental Indenture, dated as of August 24, 2021 (the “Third Supplemental Indenture” and together with the Base Indenture, the “August 2026 Notes Indenture”), between us and the Trustee. The August 2026 Notes mature on August 24, 2026, unless repurchased or redeemed in accordance with their terms prior to such date. The August 2026 Notes are redeemable, in whole or in part, at any time, or from time to time, at our option, at a redemption price equal to the greater of (1) 100% of the principal amount of the August 2026 Notes to be redeemed or (2) the sum of the present values of the remaining scheduled payments of principal and interest (exclusive of accrued and unpaid interest to the date of redemption) on the August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August 2026 Notes on or after July 24, 2026, the redemption price for the August 2026 Notes will be equal to 100% of the principal amount of the August 2026 Notes to be redeemed, plus accrued and unpaid interest, if any, to, but excluding, the date of redemption. In addition, if a change of control repurchase event (as defined in the August 2026 Notes Indenture) occurs prior to the maturity date of the August 2026 Notes or our redemption of all outstanding August 2026 Notes, we will be required, subject to certain conditions, to make an offer to the holders thereof to repurchase for cash some or all of the August 2026 Notes at a repurchase price equal to 100% of the principal amount of the August 2026 Notes to be repurchased, plus accrued and unpaid interest, if any, to, but excluding, the date of repurchase.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bear interest at a fixed rate of 4.375% per year payable semiannually on February 15 and August 15 of each year, commencing on February 15, 2022. The August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2026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2021, we issued and sold $75 million in aggregate principal amount of our 4.25% Notes due 2026 (the “December 2026 Notes”) under our 2021 Registration Statement, as supplemented by a preliminary prospectus supplement dated December 10, 2021, a final prospectus supplement dated December 10, 2021, and a pricing term sheet dated December 10,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were issued pursuant to the Base Indenture and a Fourth Supplemental Indenture, dated as of December 10, 2021 (the “Fourth Supplemental Indenture” and together with the Base Indenture, the “December 2026 Notes Indenture”), between us and the Trustee. The December 2026 Notes mature on December 15, 2026, unless repurchased or redeemed in accordance with their terms prior to such date. The December 2026 Notes are redeemable, in whole or in part, at any time, or from time to time, at our option, at a redemption price equal to the greater of (1) 100% of the principal amount of the December 2026 Notes to be redeemed or (2) the sum of the present values of the remaining scheduled payments of principal and interest (exclusive of accrued and unpaid interest to the date of redemption) on the December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December 2026 Notes on or after November 15, 2026, the redemption price for the December 2026 Notes will be equal to 100% of the principal amount of the December 2026 Notes to be redeemed, plus accrued and unpaid interest, if any, to, but excluding, the date of redemption. In addition, if a change of control repurchase event (as defined in the December 2026 Notes Indenture) occurs prior to the maturity date of the December 2026 Notes or our redemption of all outstanding December 2026 Notes, we will be required, subject to certain conditions, to make an offer to the holders thereof to repurchase for cash some or all of the December 2026 Notes at a repurchase price equal to 100% of the principal amount of the December 2026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bear interest at a fixed rate of 4.25% per year payable semiannually on June 15 and December 15 of each year, commencing on June 15, 2022. The December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2029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28, 2024, we issued and sold $115 million in aggregate principal amount of our 7.875% Notes due 2029 (the “March 2029 Notes”) under our Registration Statement on Form N-2, initially filed with the SEC on December 8, 2023 and declared effective on February 7, 2024 (the “2024 Registration Statement”), as supplemented by a preliminary prospectus supplement dated March 25, 2024, a final prospectus supplement dated March 25, 2024, and a pricing term sheet dated March 25,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were issued pursuant to the Base Indenture and a Fifth Supplemental Indenture, dated as of March 28, 2024 (the “Fifth Supplemental Indenture” and together with the Base Indenture, the “March 2029 Notes Indenture”), between us and the Trustee. The March 2029 Notes mature on March 30, 2029, unless repurchased or redeemed in accordance with their terms prior to such date. The March 2029 Notes are redeemable, in whole or in part, at any time, or from time to time, at our option, after March 30, 2026, at a redemption price equal to 100% of the principal amount of the March 2029 Notes to be redeemed plus accrued and unpaid interest payments otherwise payable for the then-current quarterly interest period accrued to, but excluding, the date fixed for redemption. The March 2029 Notes are traded on Nasdaq under the symbol “TRINZ.”</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bear interest at a fixed rate of 7.875% per year payable quarterly on March 30, June 30, September 30 and December 30 of each year, commencing on June 30, 2024. The March 2029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2029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19, 2024, we issued and sold $115 million in aggregate principal amount of our 7.875% Notes due 2029 (the “September 2029 Notes”) under our 2024 Registration Statement, as supplemented by a preliminary prospectus supplement dated July 16, 2024, a final prospectus supplement dated July 16, 2024, and a pricing term sheet dated July 16,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were issued pursuant to the Base Indenture and a Sixth Supplemental Indenture, dated as of July 19, 2024 (the “Sixth Supplemental Indenture” and together with the Base Indenture, the “September 2029 Notes Indenture”), between us and the Trustee. The September 2029 Notes mature on September 30, 2029, unless repurchased or redeemed in accordance with their terms prior to such date. The September 2029 Notes are redeemable, in whole or in part, at any time, or from time to time, at our option, on or after September 30, 2026, at a redemption price equal to 100% of the principal amount of the September 2029 Notes to be redeemed, plus accrued and unpaid interest payments otherwise payable for the then-current quarterly interest period accrued to, but excluding, the date fixed for redemption. The September 2029 Notes are traded on Nasdaq under the symbol “TRINI.”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bear interest at a fixed rate of 7.875% per year payable quarterly on March 30, June 30, September 30 and December 30 of each year, commencing on September 30, 2024. The September 2029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2024, the Company entered into a note purchase agreement (the “Note Purchase Agreement”) governing the issuance of (i) $55.5 million in aggregate principal amount of Series A Senior Notes, Tranche A, due October 29, 2027 (the “Series A 2027 Notes”), (ii) $73.0 million in aggregate principal amount of Series A Senior Notes, Tranche B, due October 29, 2028 (the “Series A 2028 Notes”) and (iii) $14.0 million in aggregate principal amount of Series A Senior Notes, Tranche C, due October 29, 2029 (the “Series A 2029 Notes” and, together with the Series A 2027 Notes and Series A 2028 Notes, collectively, the “Series A Notes”) to certain qualified institutional investors in a private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delivered and paid for on October 29, 2024, subject to certain customary closing conditions. The Series A 2027 Notes have a fixed interest rate of 7.54% per year, the Series A 2028 Notes have a fixed interest rate of 7.60% per year and the Series A 2029 Notes have a fixed interest rate of 7.66% per year, subject to a step up to the extent a Below Investment Grade Event (as defined in the Note Purchase Agreement) or a Secured Debt Ratio Event (as defined in the Note Purchase Agreement) occurs. The Series A 2027 Notes will mature on October 29, 2027, the Series A 2028 Notes will mature on October 29, 2028 and the Series A 2029 Notes will mature on October 29, 2029, unless redeemed, purchased or prepaid prior to such date by us in accordance with the terms of the Note Purchase Agreement. Interest on the Series A Notes is due semiannually in April and October of each year, beginning in April 2025. In addition, the Company is obligated to offer to repay the Series A Notes at par (plus accrued and unpaid interest to, but not including, the date of prepayment) if certain change in control events occur. Subject to the terms of the Note Purchase Agreement, the Company may redeem the Series A Notes in whole or in part at any time or from time to time at our option at par plus accrued interest to the prepayment date and, if the Series A 2027 Notes are redeemed on or before August 31, 2027, the Series A 2028 Notes are redeemed on or before August 31, 2028 or the Series A 2029 Notes are redeemed on or before August 1, 2029, a make-whole premium.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offered in reliance on Section 4(a)(2) of the Securities Act. The Series A Notes have not been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ATM 2029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2025, the Company entered into an open market sale agreement (the “Sales Agreement”) with B. Riley Securities, Inc. (the “Sales Agent”), as sales agent and/or principal thereunder. Under the Sales Agreement, the Company may, but has no obligation to, issue and sell, from time to time, up to $100,000,000 aggregate principal amount of the March 2029 Notes (the “ATM March 2029 Notes”) and up to $100,000,000 aggregate principal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the September 2029 Notes (the “ATM September 2029 Notes” and together with the ATM March 2029 Notes, the “ATM 2029 Notes”), in each case through the Sales Agent or to the Sales Agent, as principal for its own account. The ATM March 2029 Notes are treated as a single series with the existing March 2029 Notes and have the same terms as the existing March 2029 Notes (other than the issue date and issue price). The ATM September 2029 Notes are treated as a single series with the existing September 2029 Notes and have the same terms as the existing September 2029 Notes (other than the issue date and issue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2030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2025, we issued and sold $125 million in aggregate principal amount of our 6.750% Notes due 2030 (the “July 2030 Notes”) under our 2024 Registration Statement, as supplemented by a preliminary prospectus supplement dated June 26, 2025, a final prospectus supplement dated June 26, 2025, and a pricing term sheet dated June 26,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were issued pursuant to the Base Indenture and a Seventh Supplemental Indenture, dated as of July 3, 2025 (the “Seventh Supplemental Indenture” and together with the Base Indenture, the “July 2030 Notes Indenture”), between us and the Trustee. The July 2030 Notes mature on July 3, 2030, unless repurchased or redeemed in accordance with their terms prior to such date. The July 3, 2030 Notes are redeemable, in whole or in part, at any time, or from time to time, at our option, prior to June 3, 2030, at a redemption price equal to the greater of (1) (a) the sum of the present values of the remaining scheduled payments of principal and interest thereon discounted to the redemption date (assuming the notes matured on June 3, 2030) on a semi-annual basis (assuming a 360-day year consisting of twelve 30-day months) at the Treasury Rate plus 50 basis points less (b) interest accrued to the date of redemption, or (2) 100% of the principal amount of the July 2030 Notes to be redeemed, plus, in either case accrued and unpaid interest thereon to the redemption date of the July 2030 Notes; provided, however, that if we redeem any July 2030 Notes on or after July 3, 2030, the redemption price for the July 2030 Notes will be equal to 100% of the principal amount of the July 2030 Notes to be redeemed, plus accrued and unpaid interest, if any, to, but excluding, the date of redemption. In addition, if a change of control repurchase event (as defined in the July 2030 Notes Indenture) occurs prior to the maturity date of the July 2030 Notes or our redemption of all outstanding July 2030 Notes, we will be required, subject to certain conditions, to make an offer to the holders thereof to repurchase for cash some or all of the July 2030 Notes at a repurchase price equal to 100% of the principal amount of the July 2030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bear interest at a fixed rate of 6.750% per year payable semiannually on January 3 and July 3 of each year, commencing on January 3, 2026. The July 2030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921"/>
      <w:bookmarkEnd w:id="34"/>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limits our flexibility as to certain rights and preferences of the preferred stock under our charter.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after issuance and before any distribution is made with respect to common stock, we must meet a coverage ratio of total assets (less total liabilities other than indebtedness) to total indebtedness plus preferred stock, of at least 200% (or 150% if certain requirements are met);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features of the preferred stock are further limited by the requirements applicable to RICs under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class or series of preferred stock that we may issue, our Board will determine and the articles supplementary and the prospectus supplement relating to such class or series will describe: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class or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class or series, including adjustments to the conversion price of such class or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class or series upon our liquidation, dissolution or winding up of our affairs;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class or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class or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class or series are outstanding;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class or series or other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class or series, and the qualifications, limitations or restrictions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9922"/>
      <w:bookmarkEnd w:id="35"/>
      <w:r>
        <w:rPr>
          <w:rFonts w:ascii="Times New Roman PS Std;serif" w:hAnsi="Times New Roman PS Std;serif"/>
          <w:b/>
          <w:i w:val="false"/>
          <w:caps w:val="false"/>
          <w:smallCaps w:val="false"/>
          <w:sz w:val="20"/>
        </w:rPr>
        <w:t xml:space="preserve">DESCRIPTION OF OUR SUBSCRIPTION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 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Dilutive Effects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9923"/>
      <w:bookmarkEnd w:id="36"/>
      <w:r>
        <w:rPr>
          <w:rFonts w:ascii="Times New Roman PS Std;serif" w:hAnsi="Times New Roman PS Std;serif"/>
          <w:b/>
          <w:i w:val="false"/>
          <w:caps w:val="false"/>
          <w:smallCaps w:val="false"/>
          <w:sz w:val="20"/>
        </w:rPr>
        <w:t xml:space="preserve">DESCRIPTION OF OUR WARRANTS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will describe the particular terms of any series of warrants we may issue,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warrants;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such warrants;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such warrants will be issued;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including composite currencies, in which the price of such warrants may be payable;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warrants shall commence and the date on which such right will expire;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such warrants will be issued in registered form or bearer form;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such warrants which may be exercised at any one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such warrants and the related securities will be separately transferable;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securities issuable upon exercise of the warrants;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warrants, including terms, procedures and limitations relating to the exchange and exercise of such warrants.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9924"/>
      <w:bookmarkEnd w:id="37"/>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 We will file a supplemental indenture with the SEC in connection with any debt offering, at which time the supplemental indenture would be publicly available. See “Available Information” for information on how to obtain a copy of the applicable indenture.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including,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or title of the series of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and/or the method of determining such rate or rates of interest, if 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is issuable in certificated form;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Street Name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Global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When Offices Are Closed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 (unless the prospectus supplement relating to such debt securities states otherwise):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we default in the payment of any interest upon a debt securities of the series when due and payable and the default continues for a period of 30 days;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we default in the payment of the principal of (or premium, if any, on) a debt security of the series when it becomes due and payable at its maturity, including upon any redemption date or required repurchase date, and the default continues for a period of five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we file for bankruptcy or certain events of bankruptcy, insolvency, or reorganization involving us occur and remain undischarged or unstayed for a period of 60 days;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we do not deposit any sinking fund payment in respect of debt securities of the series on its due date, and do not cure this default within five days;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any other Event of Default in respect of debt securities of the series described in the applicable prospectus supplement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your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and offer of security or indemnity.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debt securities of that series must not have given the trustee a direction inconsistent with the above notice during that 60-day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debt securities of the affected series may waive any past defaults other than a default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Consolidation or Sale of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modify or amend the indenture;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waive compliance with certain provisions of the indenture or to waive certain defaults;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changes that would not adversely affect the rights of holders of the outstanding debt securities in any material respect, including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the succession of any person to the Company and the assumption by any such successor of the covenants of the Company in the indenture and in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covenants of the Company or to surrender any right or power in the indenture conferred upon the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events of default of the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secure the debt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and provide for the acceptance of appointment under the indenture by a successor trustee with respect to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cure any ambiguity, to correct or supplement any provision in the indenture that may be inconsistent with any other provision therein; provided that such action shall not adversely affect the interests of the holders of the applicable outstanding debt securities in any material respect, in each case as determined in good faith by the Company, as evidenced by a certificate of an officer of the Company;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guarantors or co-obligors with respect to the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do not need any approval to make any change that affects only debt securities to be issued under the indenture, as may be supplemented, after the change takes effect.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a special rule for that debt security described in the prospectus supplement.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Covenant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Indenture Provisions — Subordination” below. In order to achieve covenant defeasance, we must do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Defeasance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(successor in interest to U.S. Bank National Association) serves as the trustee under the indenture.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Debt Securities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9925"/>
      <w:bookmarkEnd w:id="38"/>
      <w:r>
        <w:rPr>
          <w:rFonts w:ascii="Times New Roman PS Std;serif" w:hAnsi="Times New Roman PS Std;serif"/>
          <w:b/>
          <w:i w:val="false"/>
          <w:caps w:val="false"/>
          <w:smallCaps w:val="false"/>
          <w:sz w:val="20"/>
        </w:rPr>
        <w:t xml:space="preserve">ISSUANCE OF OPTIONS, WARRANTS OR SECURITIES TO SUBSCRIBE FOR OR CONVERTIBLE </w:t>
        <w:br/>
        <w:t xml:space="preserve">INTO SHARES OF OUR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2021 Annual Meeting of Stockholders held on June 17, 2021, our stockholders approved our ability to sell or otherwise issue options, warrants or rights to subscribe to, convert to, or purchase shares of our common stock, which may include convertible preferred stock and convertible debentures, under appropriate circumstances in connection with our capital raising and financing activities, subject to applicable restrictions under the 1940 Act (including, without limitation, that the number of shares issuable does not exceed 25% of our then-outstanding common stock and that the exercise or conversion price thereof is not, at the date of issuance, less than the market value per share of our common stock). Such authorization has no expiration. Any exercise of options, warrants or securities to subscribe for or convertible into shares of our common stock at an exercise or conversion price that is below net asset value at the time of such exercise or conversion would result in an immediate dilution to existing common stockholders. This dilution would include reduction in net asset value as a result of the proportionately greater decrease in the stockholders’ interest in our earnings and assets and their voting interest than the increase in our assets resulting from such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obtaining this authorization, in order to sell or otherwise issue options, warrants or securities to subscribe for or convertible into shares of our common stock, (a) the exercise or conversion feature of the options, warrants or rights must expire within 10 years of issuance; (b) with respect to such securities that are accompanied by other securities when issued, the securities cannot be separately transferable unless no class of such securities and the other securities that accompany them has been publicly distributed; (c) the exercise or conversion price for the options, warrants or rights must not be less than the current market value of the common stock at the date of the issuance of the options, warrants or rights; (d) a majority of our directors who are not “interested persons” of the Company as defined in the 1940 Act shall have approved each individual issuance of options, warrants or rights and determined that each such issuance is in the best interests of the Company and our stockholders; and (e) the number of shares of our common stock that would result from the exercise or conversion of such securities and all other securities convertible, exercisable or exchangeable into shares of our common stock outstanding at the time of issuance of such securities must not exceed 25% of our outstanding common stock at such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also sell shares of our common stock below net asset value per share in certain other circumstances. See “Sales of Common Stock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9926"/>
      <w:bookmarkEnd w:id="39"/>
      <w:r>
        <w:rPr>
          <w:rFonts w:ascii="Times New Roman PS Std;serif" w:hAnsi="Times New Roman PS Std;serif"/>
          <w:b/>
          <w:i w:val="false"/>
          <w:caps w:val="false"/>
          <w:smallCaps w:val="false"/>
          <w:sz w:val="20"/>
        </w:rPr>
        <w:t xml:space="preserve">REGULATION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of our most recent Annual Report on Form 10-K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27"/>
      <w:bookmarkEnd w:id="4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Inc., or FINRA, or independent broker-dealer will not be greater than 10% of the gross proceeds of the sale of securities offered pursuant to this prospectus and any applicable prospectus supplement. We may also reimburse the underwriter or agent for certain fees and legal expenses incurred by 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9928"/>
      <w:bookmarkEnd w:id="41"/>
      <w:r>
        <w:rPr>
          <w:rFonts w:ascii="Times New Roman PS Std;serif" w:hAnsi="Times New Roman PS Std;serif"/>
          <w:b/>
          <w:i w:val="false"/>
          <w:caps w:val="false"/>
          <w:smallCaps w:val="false"/>
          <w:sz w:val="20"/>
        </w:rPr>
        <w:t xml:space="preserve">CUSTODIAN, TRANSFER AND DIVIDEND PAYING AGENT AND REGISTRAR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by our custodian, Wells Fargo Bank, National Association, under a custody agreement. The principal address of our custodian is: 600 S. 4th St., Minneapolis, Minnesota 55479. Equiniti Trust Company, LLC serves as our transfer agent, plan administrator, dividend paying agent and registrar. The principal business address of our transfer agent is 6201 15th Avenue, Brooklyn, NY 11219, telephone number: (718) 921-8200.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929"/>
      <w:bookmarkEnd w:id="42"/>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we generally acquire and dispose of our investments in privately negotiated transactions, we infrequently use brokers in the normal course of our business. Our management team is primarily responsible for the execution of the publicly traded securities portion of our portfolio transactions and the allocation of brokerage commissions. We do not expect to execute transactions through any particular broker or dealer, but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generally seek reasonably competitive trade execution costs, we do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9930"/>
      <w:bookmarkEnd w:id="43"/>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and certain legal matters for us in connection with the offering will be passed upon for us by Dechert LLP, Washington, DC.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offering will be passed upon for the underwriters, if any, by the counsel named in the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931"/>
      <w:bookmarkEnd w:id="44"/>
      <w:r>
        <w:rPr>
          <w:rFonts w:ascii="Times New Roman PS Std;serif" w:hAnsi="Times New Roman PS Std;serif"/>
          <w:b/>
          <w:i w:val="false"/>
          <w:caps w:val="false"/>
          <w:smallCaps w:val="false"/>
          <w:sz w:val="20"/>
        </w:rPr>
        <w:t xml:space="preserve">INDEPENDENT REGISTERED PUBLIC ACCOUNTING FIRM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Company as of December 31, 2024 and 2023, and for each of the three years in the period ended December 31, 2024, appearing in the Company’s Annual Report on Form 10-K for the year ended December 31, 2024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of Ernst &amp; Young LLP is 725 South Figueroa Street, Suite 500, Los Angeles, CA 90017.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932"/>
      <w:bookmarkEnd w:id="45"/>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file with or submit to the SEC periodic and current reports, proxy statements and other information meeting the informational requirements of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furnish our stockholders with annual reports containing audited financial statements, quarterly reports, and such other periodic reports as we determine to be appropriate or as may be required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make available on our website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our annual reports on Form 10-K, quarterly reports on Form 10-Q, our current reports on Form 8-K, our proxy statements and other information filed with the SEC. This information is available free of charge by contacting us at 1 N. 1st Street, Suite 302, Phoenix, Arizona 85004, calling us at (480) 374-5350 or visiting our corporate website. The SEC also maintains a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such information. The reference to our website is an inactive textual reference only and the information contained on our website is not a part of this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9933"/>
      <w:bookmarkEnd w:id="46"/>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8">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2024, filed with the SEC on February 26, 2025;</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9">
        <w:r>
          <w:rPr>
            <w:rStyle w:val="InternetLink"/>
            <w:rFonts w:ascii="Times New Roman PS Std;serif" w:hAnsi="Times New Roman PS Std;serif"/>
            <w:b w:val="false"/>
            <w:i w:val="false"/>
            <w:caps w:val="false"/>
            <w:smallCaps w:val="false"/>
            <w:sz w:val="20"/>
          </w:rPr>
          <w:t>Form 10-K/A</w:t>
        </w:r>
      </w:hyperlink>
      <w:r>
        <w:rPr>
          <w:rFonts w:ascii="Times New Roman PS Std;serif" w:hAnsi="Times New Roman PS Std;serif"/>
          <w:b w:val="false"/>
          <w:i w:val="false"/>
          <w:caps w:val="false"/>
          <w:smallCaps w:val="false"/>
          <w:sz w:val="20"/>
        </w:rPr>
        <w:t xml:space="preserve"> for the fiscal year ended December 31, 2024, filed with the SEC on May 5, 2025;</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10">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May 1, 2025;</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1">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March 31, 2025, filed with the SEC on May 7, 2025;</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2">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June 30, 2025, filed with the SEC on August 6, 2025;</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(other than information furnished rather than filed) filed with the SEC on </w:t>
      </w:r>
      <w:hyperlink r:id="rId13">
        <w:r>
          <w:rPr>
            <w:rStyle w:val="InternetLink"/>
            <w:rFonts w:ascii="Times New Roman PS Std;serif" w:hAnsi="Times New Roman PS Std;serif"/>
            <w:b w:val="false"/>
            <w:i w:val="false"/>
            <w:caps w:val="false"/>
            <w:smallCaps w:val="false"/>
            <w:sz w:val="20"/>
          </w:rPr>
          <w:t>February 10, 2025</w:t>
        </w:r>
      </w:hyperlink>
      <w:r>
        <w:rPr>
          <w:rFonts w:ascii="Times New Roman PS Std;serif" w:hAnsi="Times New Roman PS Std;serif"/>
          <w:b w:val="false"/>
          <w:i w:val="false"/>
          <w:caps w:val="false"/>
          <w:smallCaps w:val="false"/>
          <w:sz w:val="20"/>
        </w:rPr>
        <w:t xml:space="preserve">, </w:t>
      </w:r>
      <w:hyperlink r:id="rId14">
        <w:r>
          <w:rPr>
            <w:rStyle w:val="InternetLink"/>
            <w:rFonts w:ascii="Times New Roman PS Std;serif" w:hAnsi="Times New Roman PS Std;serif"/>
            <w:b w:val="false"/>
            <w:i w:val="false"/>
            <w:caps w:val="false"/>
            <w:smallCaps w:val="false"/>
            <w:sz w:val="20"/>
          </w:rPr>
          <w:t>March 20, 2025</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June 16, 2025</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July 1, 2025</w:t>
        </w:r>
      </w:hyperlink>
      <w:r>
        <w:rPr>
          <w:rFonts w:ascii="Times New Roman PS Std;serif" w:hAnsi="Times New Roman PS Std;serif"/>
          <w:b w:val="false"/>
          <w:i w:val="false"/>
          <w:caps w:val="false"/>
          <w:smallCaps w:val="false"/>
          <w:sz w:val="20"/>
        </w:rPr>
        <w:t xml:space="preserve">, and </w:t>
      </w:r>
      <w:hyperlink r:id="rId17">
        <w:r>
          <w:rPr>
            <w:rStyle w:val="InternetLink"/>
            <w:rFonts w:ascii="Times New Roman PS Std;serif" w:hAnsi="Times New Roman PS Std;serif"/>
            <w:b w:val="false"/>
            <w:i w:val="false"/>
            <w:caps w:val="false"/>
            <w:smallCaps w:val="false"/>
            <w:sz w:val="20"/>
          </w:rPr>
          <w:t>July 3, 2025</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18">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(No. 001-39958), as filed with the SEC on January 28, 2021,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1000"/>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000" w:after="283"/>
        <w:jc w:val="center"/>
        <w:rPr>
          <w:caps w:val="false"/>
          <w:smallCaps w:val="false"/>
        </w:rPr>
      </w:pPr>
      <w:r>
        <w:rPr>
          <w:caps w:val="false"/>
          <w:smallCaps w:val="false"/>
        </w:rPr>
        <w:drawing>
          <wp:inline distT="0" distB="0" distL="0" distR="0">
            <wp:extent cx="3248025" cy="798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7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72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$300,000,000</w:t>
      </w:r>
    </w:p>
    <w:p>
      <w:pPr>
        <w:pStyle w:val="TextBody"/>
        <w:keepNext w:val="true"/>
        <w:pageBreakBefore w:val="false"/>
        <w:widowControl/>
        <w:pBdr/>
        <w:bidi w:val="0"/>
        <w:spacing w:before="72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7.000% Notes due 2031</w:t>
      </w:r>
    </w:p>
    <w:p>
      <w:pPr>
        <w:pStyle w:val="TextBody"/>
        <w:keepNext w:val="true"/>
        <w:pageBreakBefore w:val="false"/>
        <w:widowControl/>
        <w:pBdr/>
        <w:bidi w:val="0"/>
        <w:spacing w:before="10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true"/>
        <w:pageBreakBefore w:val="false"/>
        <w:widowControl/>
        <w:pBdr/>
        <w:bidi w:val="0"/>
        <w:spacing w:before="40" w:after="10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tbl>
      <w:tblPr>
        <w:tblW w:w="10105" w:type="dxa"/>
        <w:jc w:val="left"/>
        <w:tblInd w:w="0" w:type="dxa"/>
        <w:tblLayout w:type="fixed"/>
        <w:tblCellMar>
          <w:top w:w="0" w:type="dxa"/>
          <w:left w:w="0" w:type="dxa"/>
          <w:bottom w:w="0" w:type="dxa"/>
          <w:right w:w="0" w:type="dxa"/>
        </w:tblCellMar>
      </w:tblPr>
      <w:tblGrid>
        <w:gridCol w:w="4891"/>
        <w:gridCol w:w="146"/>
        <w:gridCol w:w="2371"/>
        <w:gridCol w:w="146"/>
        <w:gridCol w:w="2551"/>
      </w:tblGrid>
      <w:tr>
        <w:trPr/>
        <w:tc>
          <w:tcPr>
            <w:tcW w:w="10105"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Co-Managers</w:t>
            </w:r>
          </w:p>
        </w:tc>
      </w:tr>
      <w:tr>
        <w:trPr/>
        <w:tc>
          <w:tcPr>
            <w:tcW w:w="489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Hancock Whitney Investment Services, Inc.</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RBC Capital Markets</w:t>
            </w:r>
          </w:p>
        </w:tc>
        <w:tc>
          <w:tcPr>
            <w:tcW w:w="146" w:type="dxa"/>
            <w:tcBorders/>
            <w:vAlign w:val="bottom"/>
          </w:tcPr>
          <w:p>
            <w:pPr>
              <w:pStyle w:val="TableContents"/>
              <w:bidi w:val="0"/>
              <w:spacing w:before="0" w:after="283"/>
              <w:jc w:val="left"/>
              <w:rPr/>
            </w:pPr>
            <w:r>
              <w:rPr/>
              <w:t> </w:t>
            </w:r>
          </w:p>
        </w:tc>
        <w:tc>
          <w:tcPr>
            <w:tcW w:w="255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Zions Capital Markets</w:t>
            </w:r>
          </w:p>
        </w:tc>
      </w:tr>
    </w:tbl>
    <w:tbl>
      <w:tblPr>
        <w:tblW w:w="10205" w:type="dxa"/>
        <w:jc w:val="left"/>
        <w:tblInd w:w="0" w:type="dxa"/>
        <w:tblLayout w:type="fixed"/>
        <w:tblCellMar>
          <w:top w:w="0" w:type="dxa"/>
          <w:left w:w="0" w:type="dxa"/>
          <w:bottom w:w="0" w:type="dxa"/>
          <w:right w:w="0" w:type="dxa"/>
        </w:tblCellMar>
      </w:tblPr>
      <w:tblGrid>
        <w:gridCol w:w="2407"/>
        <w:gridCol w:w="146"/>
        <w:gridCol w:w="3055"/>
        <w:gridCol w:w="146"/>
        <w:gridCol w:w="2159"/>
        <w:gridCol w:w="146"/>
        <w:gridCol w:w="2146"/>
      </w:tblGrid>
      <w:tr>
        <w:trPr/>
        <w:tc>
          <w:tcPr>
            <w:tcW w:w="2407"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Citizens Capital Markets</w:t>
            </w:r>
          </w:p>
        </w:tc>
        <w:tc>
          <w:tcPr>
            <w:tcW w:w="146" w:type="dxa"/>
            <w:tcBorders/>
          </w:tcPr>
          <w:p>
            <w:pPr>
              <w:pStyle w:val="TableContents"/>
              <w:bidi w:val="0"/>
              <w:spacing w:before="0" w:after="283"/>
              <w:jc w:val="left"/>
              <w:rPr/>
            </w:pPr>
            <w:r>
              <w:rPr/>
              <w:t> </w:t>
            </w:r>
          </w:p>
        </w:tc>
        <w:tc>
          <w:tcPr>
            <w:tcW w:w="3055"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Ladenburg Thalmann &amp; Co. Inc.</w:t>
            </w:r>
          </w:p>
        </w:tc>
        <w:tc>
          <w:tcPr>
            <w:tcW w:w="146" w:type="dxa"/>
            <w:tcBorders/>
          </w:tcPr>
          <w:p>
            <w:pPr>
              <w:pStyle w:val="TableContents"/>
              <w:bidi w:val="0"/>
              <w:spacing w:before="0" w:after="283"/>
              <w:jc w:val="left"/>
              <w:rPr/>
            </w:pPr>
            <w:r>
              <w:rPr/>
              <w:t> </w:t>
            </w:r>
          </w:p>
        </w:tc>
        <w:tc>
          <w:tcPr>
            <w:tcW w:w="2159" w:type="dxa"/>
            <w:tcBorders/>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Lucid Capital Markets</w:t>
            </w:r>
          </w:p>
        </w:tc>
        <w:tc>
          <w:tcPr>
            <w:tcW w:w="146" w:type="dxa"/>
            <w:tcBorders/>
          </w:tcPr>
          <w:p>
            <w:pPr>
              <w:pStyle w:val="TableContents"/>
              <w:bidi w:val="0"/>
              <w:spacing w:before="0" w:after="283"/>
              <w:jc w:val="left"/>
              <w:rPr/>
            </w:pPr>
            <w:r>
              <w:rPr/>
              <w:t> </w:t>
            </w:r>
          </w:p>
        </w:tc>
        <w:tc>
          <w:tcPr>
            <w:tcW w:w="2146" w:type="dxa"/>
            <w:tcBorders/>
          </w:tcPr>
          <w:p>
            <w:pPr>
              <w:pStyle w:val="TableContents"/>
              <w:keepNext w:val="tru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Oppenheimer &amp; Co.</w:t>
            </w:r>
          </w:p>
        </w:tc>
      </w:tr>
    </w:tbl>
    <w:p>
      <w:pPr>
        <w:pStyle w:val="TextBody"/>
        <w:keepNext w:val="false"/>
        <w:pageBreakBefore w:val="false"/>
        <w:widowControl/>
        <w:pBdr/>
        <w:bidi w:val="0"/>
        <w:spacing w:before="8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19, 2026</w:t>
      </w:r>
    </w:p>
    <w:p>
      <w:pPr>
        <w:pStyle w:val="TextBody"/>
        <w:keepNext w:val="false"/>
        <w:pageBreakBefore w:val="false"/>
        <w:widowControl/>
        <w:pBdr/>
        <w:bidi w:val="0"/>
        <w:spacing w:before="8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7" w:name="ea029166601_ex-filingfees.htm"/>
      <w:bookmarkStart w:id="48" w:name="ksea029166601_exfilingfees"/>
      <w:bookmarkStart w:id="49" w:name="ea029166601_ex-filingfees.htm"/>
      <w:bookmarkStart w:id="50" w:name="ksea029166601_exfilingfees"/>
      <w:bookmarkEnd w:id="49"/>
      <w:bookmarkEnd w:id="50"/>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Trinity Capital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7.00% Notes due 2031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300,000,000 </w:t>
            </w:r>
          </w:p>
        </w:tc>
        <w:tc>
          <w:tcPr>
            <w:tcW w:w="1156" w:type="dxa"/>
            <w:tcBorders/>
            <w:shd w:fill="E7E7E2" w:val="clear"/>
            <w:vAlign w:val="center"/>
          </w:tcPr>
          <w:p>
            <w:pPr>
              <w:pStyle w:val="TableContents"/>
              <w:bidi w:val="0"/>
              <w:spacing w:before="0" w:after="283"/>
              <w:jc w:val="right"/>
              <w:rPr/>
            </w:pPr>
            <w:r>
              <w:rPr/>
              <w:t xml:space="preserve">$ 0.98181 </w:t>
            </w:r>
          </w:p>
        </w:tc>
        <w:tc>
          <w:tcPr>
            <w:tcW w:w="1786" w:type="dxa"/>
            <w:tcBorders/>
            <w:shd w:fill="E7E7E2" w:val="clear"/>
            <w:vAlign w:val="center"/>
          </w:tcPr>
          <w:p>
            <w:pPr>
              <w:pStyle w:val="TableContents"/>
              <w:bidi w:val="0"/>
              <w:spacing w:before="0" w:after="283"/>
              <w:jc w:val="right"/>
              <w:rPr/>
            </w:pPr>
            <w:r>
              <w:rPr/>
              <w:t xml:space="preserve">$ 294,543,000.00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$ 40,676.39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1" w:name="MaxAggtOfferingPrice"/>
            <w:bookmarkEnd w:id="51"/>
            <w:r>
              <w:rPr/>
              <w:t xml:space="preserve">$ 294,543,000.00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2" w:name="TotalFeeAmt"/>
            <w:bookmarkEnd w:id="52"/>
            <w:r>
              <w:rPr/>
              <w:t xml:space="preserve">$ 40,676.39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TotalPreviouslyPaidAmt"/>
            <w:bookmarkEnd w:id="5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4" w:name="TotalOffsetAmt"/>
            <w:bookmarkEnd w:id="5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5" w:name="NetFeeAmt"/>
            <w:bookmarkEnd w:id="55"/>
            <w:r>
              <w:rPr/>
              <w:t xml:space="preserve">$ 40,676.39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pursuant to Rule 457(o) and Rule 457(r) under the Securities Act of 1933, as amended (the "Securities Act"), based on the proposed maximum aggregate offering price, and Rule 456(b) and 457(r) under the Securities Act. In accordance with Rules 456(b) and 457(r) under the Securities Act, this "Calculation of Filing Fee Table" shall be deemed to update the "Calculation of Registration Fee" table in the Registrant's Registration Statement on Form N-2 (SEC File No. 333-289495) filed on August 11, 2025.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86108/000119312526068600/trin-20251231.htm" TargetMode="External"/><Relationship Id="rId4" Type="http://schemas.openxmlformats.org/officeDocument/2006/relationships/hyperlink" Target="http://www.sec.gov/ix?doc=/Archives/edgar/data/1786108/000114036126017966/edge20066696x1_def14a.htm" TargetMode="External"/><Relationship Id="rId5" Type="http://schemas.openxmlformats.org/officeDocument/2006/relationships/hyperlink" Target="http://www.sec.gov/ix?doc=/Archives/edgar/data/1786108/000119312526207620/trin-20260331.htm" TargetMode="External"/><Relationship Id="rId6" Type="http://schemas.openxmlformats.org/officeDocument/2006/relationships/hyperlink" Target="http://www.sec.gov/ix?doc=/Archives/edgar/data/1786108/000121390026053385/ea0289489-01_8k.htm" TargetMode="External"/><Relationship Id="rId7" Type="http://schemas.openxmlformats.org/officeDocument/2006/relationships/image" Target="media/image1.jpeg"/><Relationship Id="rId8" Type="http://schemas.openxmlformats.org/officeDocument/2006/relationships/hyperlink" Target="http://www.sec.gov/Archives/edgar/data/1786108/000095017025027341/trin-20241231.htm" TargetMode="External"/><Relationship Id="rId9" Type="http://schemas.openxmlformats.org/officeDocument/2006/relationships/hyperlink" Target="http://www.sec.gov/Archives/edgar/data/1786108/000121390025039771/ea0240862-10ka1_trinity.htm" TargetMode="External"/><Relationship Id="rId10" Type="http://schemas.openxmlformats.org/officeDocument/2006/relationships/hyperlink" Target="http://www.sec.gov/Archives/edgar/data/1786108/000121390025037775/ea0240128-01_def14a.htm" TargetMode="External"/><Relationship Id="rId11" Type="http://schemas.openxmlformats.org/officeDocument/2006/relationships/hyperlink" Target="http://www.sec.gov/Archives/edgar/data/1786108/000095017025065028/trin-20250331.htm" TargetMode="External"/><Relationship Id="rId12" Type="http://schemas.openxmlformats.org/officeDocument/2006/relationships/hyperlink" Target="http://www.sec.gov/Archives/edgar/data/1786108/000095017025103547/trin-20250630.htm" TargetMode="External"/><Relationship Id="rId13" Type="http://schemas.openxmlformats.org/officeDocument/2006/relationships/hyperlink" Target="http://www.sec.gov/Archives/edgar/data/1786108/000121390025011796/ea0230438-01_8k.htm" TargetMode="External"/><Relationship Id="rId14" Type="http://schemas.openxmlformats.org/officeDocument/2006/relationships/hyperlink" Target="http://www.sec.gov/Archives/edgar/data/1786108/000121390025025605/ea0235063-01_8k.htm" TargetMode="External"/><Relationship Id="rId15" Type="http://schemas.openxmlformats.org/officeDocument/2006/relationships/hyperlink" Target="http://www.sec.gov/Archives/edgar/data/1786108/000121390025054831/ea0245896-01_8k.htm" TargetMode="External"/><Relationship Id="rId16" Type="http://schemas.openxmlformats.org/officeDocument/2006/relationships/hyperlink" Target="http://www.sec.gov/Archives/edgar/data/1786108/000121390025060418/ea0247782-01_8k.htm" TargetMode="External"/><Relationship Id="rId17" Type="http://schemas.openxmlformats.org/officeDocument/2006/relationships/hyperlink" Target="http://www.sec.gov/Archives/edgar/data/1786108/000121390025061484/ea0248131-01_8k.htm" TargetMode="External"/><Relationship Id="rId18" Type="http://schemas.openxmlformats.org/officeDocument/2006/relationships/hyperlink" Target="http://www.sec.gov/Archives/edgar/data/1786108/000110465921008513/tm214389d1_8a12b.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83539</Words>
  <Characters>433743</Characters>
  <CharactersWithSpaces>526926</CharactersWithSpaces>
  <Paragraphs>21180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