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Kyle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TRINITY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1ST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Trinity Capital Inc.</w:t>
              </w:r>
            </w:hyperlink>
            <w:r>
              <w:rPr/>
              <w:t xml:space="preserve"> [ </w:t>
            </w:r>
            <w:r>
              <w:rPr>
                <w:rFonts w:ascii="Times;serif" w:hAnsi="Times;serif"/>
                <w:color w:val="0000FF"/>
                <w:sz w:val="24"/>
                <w:shd w:fill="FFFFFF" w:val="clear"/>
              </w:rPr>
              <w:t>TRIN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President and CIO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4"/>
        <w:gridCol w:w="902"/>
        <w:gridCol w:w="773"/>
        <w:gridCol w:w="599"/>
        <w:gridCol w:w="340"/>
        <w:gridCol w:w="910"/>
        <w:gridCol w:w="433"/>
        <w:gridCol w:w="743"/>
        <w:gridCol w:w="1342"/>
        <w:gridCol w:w="971"/>
        <w:gridCol w:w="103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10,744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17.79</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601,517.74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651,663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Kyle and Amy Brown Family Trust, dated February 4, 2019</w:t>
            </w:r>
          </w:p>
        </w:tc>
      </w:tr>
      <w:tr>
        <w:trPr/>
        <w:tc>
          <w:tcPr>
            <w:tcW w:w="21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12,908.53</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to satisfy the reporting person's tax obligations in connection with vesting of restricted shares on September 15, 2026. Transaction exempt from Section 16(b) pursuant to Rule 16b-3.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Sarah Stanton is signing on behalf of Mr. K. Brown pursuant to the power of attorney dated September 17, 2021, which was previously filed with the Securities and Exchange Commission as an exhibit to the Form 4 Mr. K. Brown filed on September 17, 2021.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Stanton, on behalf of Kyle S. Brown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795" TargetMode="External"/><Relationship Id="rId5" Type="http://schemas.openxmlformats.org/officeDocument/2006/relationships/hyperlink" Target="http://www.sec.gov/cgi-bin/browse-edgar?action=getcompany&amp;CIK=0001786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3591</Characters>
  <CharactersWithSpaces>4186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