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914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9143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15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Harder Gerald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00"/>
        <w:spacing w:after="0" w:line="320" w:lineRule="auto"/>
        <w:rPr>
          <w:sz w:val="20"/>
          <w:szCs w:val="20"/>
          <w:color w:val="auto"/>
        </w:rPr>
      </w:pPr>
      <w:r>
        <w:rPr>
          <w:rFonts w:ascii="Times New Roman" w:cs="Times New Roman" w:eastAsia="Times New Roman" w:hAnsi="Times New Roman"/>
          <w:sz w:val="17"/>
          <w:szCs w:val="17"/>
          <w:color w:val="0000FF"/>
        </w:rPr>
        <w:t>C/O TRINITY CAPITAL INC. 1 N. 1ST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Trinity Capital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TRIN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60" w:lineRule="exact"/>
        <w:rPr>
          <w:sz w:val="24"/>
          <w:szCs w:val="24"/>
          <w:color w:val="auto"/>
        </w:rPr>
      </w:pPr>
    </w:p>
    <w:p>
      <w:pPr>
        <w:sectPr>
          <w:pgSz w:w="11900" w:h="16838" w:orient="portrait"/>
          <w:cols w:equalWidth="0" w:num="3">
            <w:col w:w="3200" w:space="720"/>
            <w:col w:w="3095" w:space="720"/>
            <w:col w:w="3265"/>
          </w:cols>
          <w:pgMar w:left="460" w:top="219" w:right="439" w:bottom="1153"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3700" w:type="dxa"/>
            <w:vAlign w:val="bottom"/>
            <w:gridSpan w:val="5"/>
          </w:tcPr>
          <w:p>
            <w:pPr>
              <w:ind w:left="16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520" w:type="dxa"/>
            <w:vAlign w:val="bottom"/>
            <w:gridSpan w:val="5"/>
          </w:tcPr>
          <w:p>
            <w:pPr>
              <w:ind w:left="28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ind w:left="28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40" w:type="dxa"/>
            <w:vAlign w:val="bottom"/>
            <w:gridSpan w:val="4"/>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PHOENIX</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AZ</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85004</w:t>
            </w:r>
          </w:p>
        </w:tc>
        <w:tc>
          <w:tcPr>
            <w:tcW w:w="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40" w:type="dxa"/>
            <w:vAlign w:val="bottom"/>
            <w:gridSpan w:val="4"/>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4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26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26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2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2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60" w:type="dxa"/>
            <w:vAlign w:val="bottom"/>
            <w:gridSpan w:val="2"/>
          </w:tcPr>
          <w:p>
            <w:pPr>
              <w:ind w:left="12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60" w:type="dxa"/>
            <w:vAlign w:val="bottom"/>
            <w:gridSpan w:val="2"/>
          </w:tcPr>
          <w:p>
            <w:pPr>
              <w:ind w:left="12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60" w:type="dxa"/>
            <w:vAlign w:val="bottom"/>
            <w:gridSpan w:val="2"/>
          </w:tcPr>
          <w:p>
            <w:pPr>
              <w:ind w:left="12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260" w:type="dxa"/>
            <w:vAlign w:val="bottom"/>
            <w:tcBorders>
              <w:bottom w:val="single" w:sz="8" w:color="2C2C2C"/>
            </w:tcBorders>
            <w:gridSpan w:val="2"/>
          </w:tcPr>
          <w:p>
            <w:pPr>
              <w:ind w:left="1300"/>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4,654</w:t>
            </w:r>
            <w:r>
              <w:rPr>
                <w:rFonts w:ascii="Times New Roman" w:cs="Times New Roman" w:eastAsia="Times New Roman" w:hAnsi="Times New Roman"/>
                <w:sz w:val="22"/>
                <w:szCs w:val="22"/>
                <w:color w:val="008000"/>
                <w:vertAlign w:val="superscript"/>
              </w:rPr>
              <w:t>(1)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16.89</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220,608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Harder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150,962</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dated</w:t>
      </w:r>
    </w:p>
    <w:p>
      <w:pPr>
        <w:spacing w:after="0" w:line="1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May 26,</w:t>
      </w:r>
    </w:p>
    <w:p>
      <w:pPr>
        <w:spacing w:after="0" w:line="1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2000</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withheld to satisfy the reporting person's tax obligations in connection with vesting of restricted shares on June 15, 2026. Transaction exempt from Section 16(b) pursuant to Rule 16b-3.</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140"/>
        <w:spacing w:after="0" w:line="256" w:lineRule="auto"/>
        <w:rPr>
          <w:sz w:val="20"/>
          <w:szCs w:val="20"/>
          <w:color w:val="auto"/>
        </w:rPr>
      </w:pPr>
      <w:r>
        <w:rPr>
          <w:rFonts w:ascii="Times New Roman" w:cs="Times New Roman" w:eastAsia="Times New Roman" w:hAnsi="Times New Roman"/>
          <w:sz w:val="13"/>
          <w:szCs w:val="13"/>
          <w:color w:val="008000"/>
        </w:rPr>
        <w:t>Sarah Stanton is signing on behalf of Mr. Harder pursuant to the power of attorney dated September 2, 2021, which was previously filed with the Securities and Exchange Commission as an exhibit to the Form 4 Mr. Harder filed on September 2, 2021.</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Sarah Stanton, on behalf of </w:t>
      </w:r>
      <w:r>
        <w:rPr>
          <w:rFonts w:ascii="Times New Roman" w:cs="Times New Roman" w:eastAsia="Times New Roman" w:hAnsi="Times New Roman"/>
          <w:sz w:val="33"/>
          <w:szCs w:val="33"/>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Gerald Harder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631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318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1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96523" TargetMode="External"/><Relationship Id="rId14" Type="http://schemas.openxmlformats.org/officeDocument/2006/relationships/hyperlink" Target="http://www.sec.gov/cgi-bin/browse-edgar?action=getcompany&amp;CIK=00017861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2026-06-17T18:01:58Z</dcterms:created>
  <dcterms:modified xsi:type="dcterms:W3CDTF">2026-06-17T18:01:58Z</dcterms:modified>
</cp:coreProperties>
</file>