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trin-20260714.htm"/>
      <w:bookmarkStart w:id="1" w:name="kstrin20260714"/>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56" w:type="dxa"/>
        <w:jc w:val="left"/>
        <w:tblInd w:w="0" w:type="dxa"/>
        <w:tblLayout w:type="fixed"/>
        <w:tblCellMar>
          <w:top w:w="28" w:type="dxa"/>
          <w:left w:w="28" w:type="dxa"/>
          <w:bottom w:w="28" w:type="dxa"/>
          <w:right w:w="28" w:type="dxa"/>
        </w:tblCellMar>
      </w:tblPr>
      <w:tblGrid>
        <w:gridCol w:w="5356"/>
      </w:tblGrid>
      <w:tr>
        <w:trPr/>
        <w:tc>
          <w:tcPr>
            <w:tcW w:w="5356" w:type="dxa"/>
            <w:tcBorders/>
            <w:vAlign w:val="center"/>
          </w:tcPr>
          <w:p>
            <w:pPr>
              <w:pStyle w:val="TableContents"/>
              <w:bidi w:val="0"/>
              <w:spacing w:before="0" w:after="283"/>
              <w:jc w:val="left"/>
              <w:rPr>
                <w:sz w:val="4"/>
                <w:szCs w:val="4"/>
              </w:rPr>
            </w:pPr>
            <w:r>
              <w:rPr>
                <w:sz w:val="4"/>
                <w:szCs w:val="4"/>
              </w:rPr>
            </w:r>
          </w:p>
        </w:tc>
      </w:tr>
      <w:tr>
        <w:trPr/>
        <w:tc>
          <w:tcPr>
            <w:tcW w:w="5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July 14,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TRINITY CAPITAL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3"/>
        <w:gridCol w:w="873"/>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Maryland</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001-39958</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35-2670395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 N. 1st Street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302</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Phoenix, Arizona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85004</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(480)</w:t>
            </w:r>
            <w:r>
              <w:rPr>
                <w:rFonts w:ascii="Times New Roman" w:hAnsi="Times New Roman"/>
                <w:color w:val="000000"/>
                <w:sz w:val="20"/>
              </w:rPr>
              <w:t xml:space="preserve"> </w:t>
            </w:r>
            <w:r>
              <w:rPr>
                <w:rFonts w:ascii="Times New Roman" w:hAnsi="Times New Roman"/>
                <w:b/>
                <w:color w:val="000000"/>
                <w:sz w:val="20"/>
              </w:rPr>
              <w:t>374-5350</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tbl>
      <w:tblPr>
        <w:tblW w:w="9658" w:type="dxa"/>
        <w:jc w:val="left"/>
        <w:tblInd w:w="0" w:type="dxa"/>
        <w:tblLayout w:type="fixed"/>
        <w:tblCellMar>
          <w:top w:w="28" w:type="dxa"/>
          <w:left w:w="28" w:type="dxa"/>
          <w:bottom w:w="28" w:type="dxa"/>
          <w:right w:w="28" w:type="dxa"/>
        </w:tblCellMar>
      </w:tblPr>
      <w:tblGrid>
        <w:gridCol w:w="331"/>
        <w:gridCol w:w="146"/>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12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12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12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665" w:type="dxa"/>
        <w:jc w:val="left"/>
        <w:tblInd w:w="0" w:type="dxa"/>
        <w:tblLayout w:type="fixed"/>
        <w:tblCellMar>
          <w:top w:w="28" w:type="dxa"/>
          <w:left w:w="28" w:type="dxa"/>
          <w:bottom w:w="28" w:type="dxa"/>
          <w:right w:w="28" w:type="dxa"/>
        </w:tblCellMar>
      </w:tblPr>
      <w:tblGrid>
        <w:gridCol w:w="3601"/>
        <w:gridCol w:w="146"/>
        <w:gridCol w:w="946"/>
        <w:gridCol w:w="146"/>
        <w:gridCol w:w="3826"/>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0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TRIN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7.875% Notes Due 2029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TRINZ</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7.875% Notes Due 2029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TRINI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80" w:after="283"/>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0" w:after="240"/>
        <w:jc w:val="left"/>
        <w:rPr>
          <w:rFonts w:ascii="Times New Roman" w:hAnsi="Times New Roman"/>
          <w:color w:val="000000"/>
          <w:sz w:val="20"/>
        </w:rPr>
      </w:pPr>
      <w:r>
        <w:rPr>
          <w:rFonts w:ascii="Times New Roman" w:hAnsi="Times New Roman"/>
          <w:color w:val="000000"/>
          <w:sz w:val="20"/>
        </w:rPr>
        <w:t>Item 3.01 Notice of Delisting or Failure to Satisfy a Continued Listing Rule or Standard; Transfer of Listing</w:t>
      </w:r>
    </w:p>
    <w:p>
      <w:pPr>
        <w:pStyle w:val="TextBody"/>
        <w:bidi w:val="0"/>
        <w:jc w:val="left"/>
        <w:rPr>
          <w:rFonts w:ascii="Times New Roman" w:hAnsi="Times New Roman"/>
          <w:color w:val="000000"/>
          <w:sz w:val="20"/>
        </w:rPr>
      </w:pPr>
      <w:r>
        <w:rPr>
          <w:rFonts w:ascii="Times New Roman" w:hAnsi="Times New Roman"/>
          <w:color w:val="000000"/>
          <w:sz w:val="20"/>
        </w:rPr>
        <w:t>On July 14, 2026, acting pursuant to authorization from Trinity Capital Inc.’s (the “Company”) board of directors (the “Board”), the Company announced its intention to voluntarily withdraw the listing of its common stock, par value $0.001 per share (the “Common Stock”), its 7.875% Notes due 2029 (the “March 2029 Notes”), and its 7.875% Notes due 2029 (the “September 2029 Notes”, and together with the March 2029 Notes, the “Notes”) from the Nasdaq Global Select Market (“Nasdaq”) and transfer the listings to the New York Stock Exchange (the “NYSE”) and NYSE Texas. The Company expects the Common Stock and the Notes to be listed and begin trading on the NYSE and NYSE Texas under the ticker symbols “TRIN”, “TRNZ”, and “TRNI”, respectively, on or about July 27, 2026. Until that time, the Common Stock and the Notes will continue to trade on Nasdaq.</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0"/>
        </w:rPr>
        <w:t>Item 7.01 Regulation FD Disclosure</w:t>
        <w:br/>
      </w:r>
      <w:r>
        <w:rPr>
          <w:rFonts w:ascii="Times New Roman" w:hAnsi="Times New Roman"/>
          <w:color w:val="000000"/>
          <w:sz w:val="20"/>
        </w:rPr>
        <w:br/>
        <w:t>On July 14, 2026, the Company issued the press release attached hereto as Exhibit 99.1 in connection with the transfer of the Common Stock and the Notes to the NYSE and NYSE Texas.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information disclosed under this Item 7.01, including Exhibit 99.1 hereto, is being furnished and shall not be deemed “filed” for purposes of Section 18 of the Securities Exchange Act of 1934, as amended, or otherwise subject to the liabilities of that section. The information provided herein shall not be deemed incorporated by reference into any filing made under the Securities Act of 1933, as amended, except as expressly set forth by specific reference in such filing.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8173" w:type="dxa"/>
        <w:jc w:val="left"/>
        <w:tblInd w:w="0" w:type="dxa"/>
        <w:tblLayout w:type="fixed"/>
        <w:tblCellMar>
          <w:top w:w="28" w:type="dxa"/>
          <w:left w:w="28" w:type="dxa"/>
          <w:bottom w:w="28" w:type="dxa"/>
          <w:right w:w="28" w:type="dxa"/>
        </w:tblCellMar>
      </w:tblPr>
      <w:tblGrid>
        <w:gridCol w:w="1426"/>
        <w:gridCol w:w="146"/>
        <w:gridCol w:w="6601"/>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4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6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Description</w:t>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trin-ex99_1.htm">
              <w:r>
                <w:rPr>
                  <w:rStyle w:val="InternetLink"/>
                  <w:rFonts w:ascii="Times New Roman" w:hAnsi="Times New Roman"/>
                  <w:color w:val="0000FF"/>
                  <w:sz w:val="20"/>
                  <w:u w:val="single"/>
                </w:rPr>
                <w:t>Press Release issued by Trinity Capital Inc. on July 14, 2026.</w:t>
              </w:r>
            </w:hyperlink>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8014" w:type="dxa"/>
        <w:jc w:val="left"/>
        <w:tblInd w:w="0" w:type="dxa"/>
        <w:tblLayout w:type="fixed"/>
        <w:tblCellMar>
          <w:top w:w="28" w:type="dxa"/>
          <w:left w:w="28" w:type="dxa"/>
          <w:bottom w:w="28" w:type="dxa"/>
          <w:right w:w="28" w:type="dxa"/>
        </w:tblCellMar>
      </w:tblPr>
      <w:tblGrid>
        <w:gridCol w:w="556"/>
        <w:gridCol w:w="1216"/>
        <w:gridCol w:w="451"/>
        <w:gridCol w:w="5791"/>
      </w:tblGrid>
      <w:tr>
        <w:trPr/>
        <w:tc>
          <w:tcPr>
            <w:tcW w:w="55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579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579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Trinity Capital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57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July 14,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579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Kyle Brown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579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Name: Kyle Brown</w:t>
              <w:br/>
              <w:t>Title: Chief Executive Officer, President and Chief Investment Officer</w:t>
              <w:b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trin-ex99_1.htm"/>
      <w:bookmarkStart w:id="3" w:name="kstrinex99_1"/>
      <w:bookmarkEnd w:id="2"/>
      <w:bookmarkEnd w:id="3"/>
      <w:r>
        <w:rPr>
          <w:rFonts w:ascii="Times New Roman" w:hAnsi="Times New Roman"/>
          <w:b/>
          <w:color w:val="000000"/>
          <w:sz w:val="20"/>
        </w:rPr>
        <w:t>Exhibit 99.1</w:t>
      </w:r>
      <w:r>
        <w:br w:type="page"/>
      </w:r>
    </w:p>
    <w:p>
      <w:pPr>
        <w:pStyle w:val="TextBody"/>
        <w:bidi w:val="0"/>
        <w:jc w:val="center"/>
        <w:rPr/>
      </w:pPr>
      <w:r>
        <w:rPr/>
        <w:drawing>
          <wp:inline distT="0" distB="0" distL="0" distR="0">
            <wp:extent cx="1857375" cy="438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57375" cy="438150"/>
                    </a:xfrm>
                    <a:prstGeom prst="rect">
                      <a:avLst/>
                    </a:prstGeom>
                  </pic:spPr>
                </pic:pic>
              </a:graphicData>
            </a:graphic>
          </wp:inline>
        </w:drawing>
      </w:r>
    </w:p>
    <w:p>
      <w:pPr>
        <w:pStyle w:val="TextBody"/>
        <w:bidi w:val="0"/>
        <w:jc w:val="center"/>
        <w:rPr/>
      </w:pPr>
      <w:r>
        <w:rPr/>
        <w:t> </w:t>
      </w:r>
    </w:p>
    <w:p>
      <w:pPr>
        <w:pStyle w:val="TextBody"/>
        <w:bidi w:val="0"/>
        <w:jc w:val="center"/>
        <w:rPr>
          <w:rFonts w:ascii="Arial" w:hAnsi="Arial"/>
          <w:b/>
          <w:color w:val="000000"/>
          <w:sz w:val="28"/>
        </w:rPr>
      </w:pPr>
      <w:r>
        <w:rPr>
          <w:rFonts w:ascii="Arial" w:hAnsi="Arial"/>
          <w:b/>
          <w:color w:val="000000"/>
          <w:sz w:val="28"/>
        </w:rPr>
        <w:t>Trinity Capital to Transfer Listing to New York Stock Exchange</w:t>
      </w:r>
    </w:p>
    <w:p>
      <w:pPr>
        <w:pStyle w:val="TextBody"/>
        <w:bidi w:val="0"/>
        <w:jc w:val="left"/>
        <w:rPr/>
      </w:pPr>
      <w:r>
        <w:rPr/>
        <w:t> </w:t>
      </w:r>
    </w:p>
    <w:p>
      <w:pPr>
        <w:pStyle w:val="TextBody"/>
        <w:bidi w:val="0"/>
        <w:spacing w:before="0" w:after="240"/>
        <w:jc w:val="left"/>
        <w:rPr>
          <w:rFonts w:ascii="Times New Roman" w:hAnsi="Times New Roman"/>
          <w:sz w:val="20"/>
        </w:rPr>
      </w:pPr>
      <w:r>
        <w:rPr>
          <w:rFonts w:ascii="Arial" w:hAnsi="Arial"/>
          <w:color w:val="000000"/>
          <w:sz w:val="20"/>
        </w:rPr>
        <w:t>PHOENIX, July 14, 2026 /PRNewswire/ -- Trinity Capital Inc. (Nasdaq: TRIN) (the “Company” or “Trinity Capital”), a leading international alternative asset manager, today announced that it plans to transfer the listing of its common stock to the New York Stock Exchange (“NYSE”) and NYSE Texas from the Nasdaq Stock Market (“Nasdaq”).</w:t>
      </w:r>
      <w:r>
        <w:rPr>
          <w:rFonts w:ascii="Times New Roman" w:hAnsi="Times New Roman"/>
          <w:color w:val="000000"/>
          <w:sz w:val="20"/>
        </w:rPr>
        <w:t xml:space="preserve"> </w:t>
      </w:r>
    </w:p>
    <w:p>
      <w:pPr>
        <w:pStyle w:val="TextBody"/>
        <w:bidi w:val="0"/>
        <w:spacing w:before="0" w:after="240"/>
        <w:jc w:val="left"/>
        <w:rPr>
          <w:rFonts w:ascii="Arial" w:hAnsi="Arial"/>
          <w:color w:val="000000"/>
          <w:sz w:val="20"/>
        </w:rPr>
      </w:pPr>
      <w:r>
        <w:rPr>
          <w:rFonts w:ascii="Arial" w:hAnsi="Arial"/>
          <w:color w:val="000000"/>
          <w:sz w:val="20"/>
        </w:rPr>
        <w:t>The Company expects to begin trading as a NYSE-listed company on or about July 27, 2026, maintaining the current ticker symbol “TRIN” for its common stock. Until the close of trading on July 24, 2026, Trinity Capital’s common stock will continue to trade on Nasdaq under the ticker symbol “TRIN.”</w:t>
      </w:r>
    </w:p>
    <w:p>
      <w:pPr>
        <w:pStyle w:val="TextBody"/>
        <w:bidi w:val="0"/>
        <w:spacing w:before="0" w:after="240"/>
        <w:jc w:val="left"/>
        <w:rPr>
          <w:rFonts w:ascii="Arial" w:hAnsi="Arial"/>
          <w:color w:val="000000"/>
          <w:sz w:val="20"/>
        </w:rPr>
      </w:pPr>
      <w:r>
        <w:rPr>
          <w:rFonts w:ascii="Arial" w:hAnsi="Arial"/>
          <w:color w:val="000000"/>
          <w:sz w:val="20"/>
        </w:rPr>
        <w:t>In addition, the Company’s two Fixed Rate Senior Notes due 2029 – the 7.875% Notes due March 2029 and the 7.875% Notes due September 2029 (together, the “Notes”) – which currently trade on Nasdaq under the symbols “TRINZ” and “TRINI,” respectively, will also transfer to the NYSE and NYSE Texas. The Notes are expected to begin trading on the NYSE and NYSE Texas on or about July 27, 2026 under the new ticker symbols “TRNZ” and “TRNI,” respectively.</w:t>
      </w:r>
    </w:p>
    <w:p>
      <w:pPr>
        <w:pStyle w:val="TextBody"/>
        <w:bidi w:val="0"/>
        <w:spacing w:before="0" w:after="240"/>
        <w:jc w:val="left"/>
        <w:rPr>
          <w:color w:val="000000"/>
        </w:rPr>
      </w:pPr>
      <w:r>
        <w:rPr>
          <w:color w:val="000000"/>
        </w:rPr>
        <w:t>“</w:t>
      </w:r>
      <w:r>
        <w:rPr>
          <w:rFonts w:ascii="Arial" w:hAnsi="Arial"/>
          <w:color w:val="000000"/>
          <w:sz w:val="20"/>
        </w:rPr>
        <w:t>We are excited to transfer our listing to the New York Stock Exchange, a strategic move that highlights Trinity Capital’s commitment to creating long-term shareholder value,” Trinity Capital CEO Kyle Brown said. “We believe the NYSE’s iconic place in the global landscape, unparalleled presence in the financials community, and deep market expertise provide an exceptional foundation for our continued growth.”</w:t>
      </w:r>
    </w:p>
    <w:p>
      <w:pPr>
        <w:pStyle w:val="TextBody"/>
        <w:bidi w:val="0"/>
        <w:spacing w:before="0" w:after="240"/>
        <w:jc w:val="left"/>
        <w:rPr>
          <w:color w:val="000000"/>
        </w:rPr>
      </w:pPr>
      <w:r>
        <w:rPr>
          <w:color w:val="000000"/>
        </w:rPr>
        <w:t>“</w:t>
      </w:r>
      <w:r>
        <w:rPr>
          <w:rFonts w:ascii="Arial" w:hAnsi="Arial"/>
          <w:color w:val="000000"/>
          <w:sz w:val="20"/>
        </w:rPr>
        <w:t>We are proud to welcome Trinity Capital to the NYSE,” said Chris Taylor, Chief Development Officer, NYSE Group. “Their leadership in alternative asset management and expertise across private credit markets make them an outstanding addition to our world-class community of financial institutions."</w:t>
      </w:r>
    </w:p>
    <w:p>
      <w:pPr>
        <w:pStyle w:val="TextBody"/>
        <w:bidi w:val="0"/>
        <w:jc w:val="left"/>
        <w:rPr>
          <w:rFonts w:ascii="Arial" w:hAnsi="Arial"/>
          <w:b/>
          <w:color w:val="000000"/>
          <w:sz w:val="20"/>
        </w:rPr>
      </w:pPr>
      <w:r>
        <w:rPr>
          <w:rFonts w:ascii="Arial" w:hAnsi="Arial"/>
          <w:b/>
          <w:color w:val="000000"/>
          <w:sz w:val="20"/>
        </w:rPr>
        <w:t>About Trinity Capital Inc.</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 xml:space="preserve">Trinity Capital Inc. is an international alternative asset manager that seeks to deliver consistent returns for investors through access to private credit markets. Trinity Capital sources and structures investments in well-capitalized growth-oriented companies across five distinct lending verticals: Sponsor Finance, Equipment Finance, Tech Lending, Asset Based Lending, and Healthcare &amp; Life Sciences. As a long-term, trusted partner for innovative companies seeking tailored debt solutions, Trinity Capital has deployed more than $5.7 billion across over 470 investments since inception in 2008 (as of March 31, 2026). Headquartered in Phoenix, Arizona, Trinity Capital's dedicated team is strategically located across the United States and Europe. For more information on Trinity Capital, please visit </w:t>
      </w:r>
      <w:r>
        <w:rPr>
          <w:rFonts w:ascii="Arial" w:hAnsi="Arial"/>
          <w:sz w:val="20"/>
        </w:rPr>
        <w:t>trinitycapital.com</w:t>
      </w:r>
      <w:r>
        <w:rPr>
          <w:rFonts w:ascii="Times New Roman" w:hAnsi="Times New Roman"/>
          <w:color w:val="000000"/>
          <w:sz w:val="20"/>
        </w:rPr>
        <w:t xml:space="preserve"> </w:t>
      </w:r>
      <w:r>
        <w:rPr>
          <w:rFonts w:ascii="Arial" w:hAnsi="Arial"/>
          <w:color w:val="000000"/>
          <w:sz w:val="20"/>
        </w:rPr>
        <w:t xml:space="preserve">and stay connected to the latest activity via </w:t>
      </w:r>
      <w:r>
        <w:rPr>
          <w:rFonts w:ascii="Arial" w:hAnsi="Arial"/>
          <w:sz w:val="20"/>
        </w:rPr>
        <w:t>LinkedIn</w:t>
      </w:r>
      <w:r>
        <w:rPr>
          <w:rFonts w:ascii="Arial" w:hAnsi="Arial"/>
          <w:color w:val="000000"/>
          <w:sz w:val="20"/>
        </w:rPr>
        <w:t>.</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Contact</w:t>
      </w:r>
    </w:p>
    <w:p>
      <w:pPr>
        <w:pStyle w:val="TextBody"/>
        <w:bidi w:val="0"/>
        <w:jc w:val="left"/>
        <w:rPr>
          <w:rFonts w:ascii="Arial" w:hAnsi="Arial"/>
          <w:color w:val="000000"/>
          <w:sz w:val="20"/>
        </w:rPr>
      </w:pPr>
      <w:r>
        <w:rPr>
          <w:rFonts w:ascii="Arial" w:hAnsi="Arial"/>
          <w:color w:val="000000"/>
          <w:sz w:val="20"/>
        </w:rPr>
        <w:t>Ben Malcolmson</w:t>
      </w:r>
    </w:p>
    <w:p>
      <w:pPr>
        <w:pStyle w:val="TextBody"/>
        <w:bidi w:val="0"/>
        <w:jc w:val="left"/>
        <w:rPr>
          <w:rFonts w:ascii="Arial" w:hAnsi="Arial"/>
          <w:color w:val="000000"/>
          <w:sz w:val="20"/>
        </w:rPr>
      </w:pPr>
      <w:r>
        <w:rPr>
          <w:rFonts w:ascii="Arial" w:hAnsi="Arial"/>
          <w:color w:val="000000"/>
          <w:sz w:val="20"/>
        </w:rPr>
        <w:t>Head of Investor Relations</w:t>
      </w:r>
    </w:p>
    <w:p>
      <w:pPr>
        <w:pStyle w:val="TextBody"/>
        <w:bidi w:val="0"/>
        <w:jc w:val="left"/>
        <w:rPr>
          <w:rFonts w:ascii="Arial" w:hAnsi="Arial"/>
          <w:color w:val="000000"/>
          <w:sz w:val="20"/>
        </w:rPr>
      </w:pPr>
      <w:r>
        <w:rPr>
          <w:rFonts w:ascii="Arial" w:hAnsi="Arial"/>
          <w:color w:val="000000"/>
          <w:sz w:val="20"/>
        </w:rPr>
        <w:t>Trinity Capital, Inc.</w:t>
      </w:r>
    </w:p>
    <w:p>
      <w:pPr>
        <w:pStyle w:val="TextBody"/>
        <w:bidi w:val="0"/>
        <w:jc w:val="left"/>
        <w:rPr>
          <w:rFonts w:ascii="Arial" w:hAnsi="Arial"/>
          <w:sz w:val="20"/>
        </w:rPr>
      </w:pPr>
      <w:r>
        <w:rPr>
          <w:rFonts w:ascii="Arial" w:hAnsi="Arial"/>
          <w:sz w:val="20"/>
        </w:rPr>
        <w:t>ir@trinitycapital.com</w:t>
      </w:r>
    </w:p>
    <w:p>
      <w:pPr>
        <w:pStyle w:val="TextBody"/>
        <w:bidi w:val="0"/>
        <w:spacing w:before="0" w:after="120"/>
        <w:jc w:val="left"/>
        <w:rPr>
          <w:rFonts w:ascii="Arial" w:hAnsi="Arial"/>
          <w:color w:val="000000"/>
          <w:sz w:val="20"/>
        </w:rPr>
      </w:pPr>
      <w:r>
        <w:rPr>
          <w:rFonts w:ascii="Arial" w:hAnsi="Arial"/>
          <w:color w:val="000000"/>
          <w:sz w:val="20"/>
        </w:rPr>
        <w:t>(480) 852-3950</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1116</Words>
  <Characters>6095</Characters>
  <CharactersWithSpaces>7201</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