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Kyle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TRINITY CAPITAL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1ST STREET, SUITE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Trinity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President and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1"/>
        <w:gridCol w:w="898"/>
        <w:gridCol w:w="771"/>
        <w:gridCol w:w="597"/>
        <w:gridCol w:w="337"/>
        <w:gridCol w:w="1039"/>
        <w:gridCol w:w="424"/>
        <w:gridCol w:w="737"/>
        <w:gridCol w:w="1330"/>
        <w:gridCol w:w="959"/>
        <w:gridCol w:w="10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2,296.23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18.04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612,261.74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662,407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Kyle and Amy Brown Family Trust, dated February 4, 2019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12,908.53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S.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795" TargetMode="External"/><Relationship Id="rId5" Type="http://schemas.openxmlformats.org/officeDocument/2006/relationships/hyperlink" Target="http://www.sec.gov/cgi-bin/browse-edgar?action=getcompany&amp;CIK=0001786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3180</Characters>
  <CharactersWithSpaces>3697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