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064-01_25.htm"/>
      <w:bookmarkStart w:id="1" w:name="ksea029906401_25"/>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br/>
        <w:t>SECURITIES AND EXCHANGE COMMISSION</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Washington, D.C. 20549</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25</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REMOVAL FROM LISTING AND/OR</w:t>
        <w:br/>
        <w:t>REGISTRATION UNDER SECTION 12(b) OF THE</w:t>
        <w:br/>
        <w:t>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001-39958</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Trinity Capital Inc.</w:t>
        <w:br/>
        <w:t>The Nasdaq Stock Market LLC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Issuer as specified in its charter, and name of Exchange</w:t>
        <w:br/>
        <w:t>where security is listed and/or registered)</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 1st Street, Suite 302</w:t>
        <w:br/>
        <w:t>Phoenix, Arizona 85004</w:t>
        <w:br/>
        <w:t>(480) 374-5350</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Issuer’s principal executive offices)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$0.001 per share</w:t>
        <w:br/>
        <w:t>7.875% Notes due March 2029</w:t>
        <w:br/>
        <w:t>7.875% Notes due September 2029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of securities)</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place an X in the box to designate the rule provision relied upon to strike the class of securities from listing and registration:</w:t>
      </w:r>
    </w:p>
    <w:p>
      <w:pPr>
        <w:pStyle w:val="TextBody"/>
        <w:bidi w:val="0"/>
        <w:ind w:left="360" w:right="0" w:hanging="36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3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CFR 240.12d2-2(a)(1)</w:t>
            </w:r>
          </w:p>
        </w:tc>
      </w:tr>
    </w:tbl>
    <w:p>
      <w:pPr>
        <w:pStyle w:val="TextBody"/>
        <w:bidi w:val="0"/>
        <w:ind w:left="360" w:right="0" w:hanging="36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3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CFR 240.12d2-2(a)(2)</w:t>
            </w:r>
          </w:p>
        </w:tc>
      </w:tr>
    </w:tbl>
    <w:p>
      <w:pPr>
        <w:pStyle w:val="TextBody"/>
        <w:bidi w:val="0"/>
        <w:ind w:left="360" w:right="0" w:hanging="36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3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CFR 240.12d2-2(a)(3)</w:t>
            </w:r>
          </w:p>
        </w:tc>
      </w:tr>
    </w:tbl>
    <w:p>
      <w:pPr>
        <w:pStyle w:val="TextBody"/>
        <w:bidi w:val="0"/>
        <w:ind w:left="360" w:right="0" w:hanging="36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3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CFR 240.12d2-2(a)(4)</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17 CFR 240.12d2-2(b), the Exchange has complied with its rules to strike the class of securities from listing and/or withdraw registration on the Exchange.</w:t>
            </w:r>
            <w:r>
              <w:rPr>
                <w:rFonts w:ascii="Times New Roman;Times;Serif" w:hAnsi="Times New Roman;Times;Serif"/>
                <w:b w:val="false"/>
                <w:i w:val="false"/>
                <w:caps w:val="false"/>
                <w:smallCaps w:val="false"/>
                <w:position w:val="7"/>
                <w:sz w:val="16"/>
                <w:sz w:val="20"/>
              </w:rPr>
              <w:t>1</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17 CFR 240.12d2-2(c), the Issuer has complied with the rules of the Exchange and the requirements of 17 CFR 240.12d2-2(c) governing the voluntary withdrawal of the class of securities from listing and registration on the Exchange.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Form 25 and attached Notice will be considered compliance with the provisions of 17 CFR 240.19d-1 as applicable. See General Instructions.</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Trinity Capital Inc. certifies that it has reasonable grounds to believe that it meets all of the requirements for filing the Form 25 and has caused this notification to be signed on its behalf by the undersigned duly authorized person.</w:t>
      </w:r>
    </w:p>
    <w:p>
      <w:pPr>
        <w:pStyle w:val="TextBody"/>
        <w:bidi w:val="0"/>
        <w:jc w:val="left"/>
        <w:rPr>
          <w:caps w:val="false"/>
          <w:smallCaps w:val="false"/>
        </w:rPr>
      </w:pPr>
      <w:r>
        <w:rPr>
          <w:caps w:val="false"/>
          <w:smallCaps w:val="false"/>
        </w:rPr>
        <w:t> </w:t>
      </w:r>
    </w:p>
    <w:tbl>
      <w:tblPr>
        <w:tblW w:w="6819" w:type="dxa"/>
        <w:jc w:val="left"/>
        <w:tblInd w:w="0" w:type="dxa"/>
        <w:tblLayout w:type="fixed"/>
        <w:tblCellMar>
          <w:top w:w="0" w:type="dxa"/>
          <w:left w:w="0" w:type="dxa"/>
          <w:bottom w:w="0" w:type="dxa"/>
          <w:right w:w="0" w:type="dxa"/>
        </w:tblCellMar>
      </w:tblPr>
      <w:tblGrid>
        <w:gridCol w:w="1625"/>
        <w:gridCol w:w="1074"/>
        <w:gridCol w:w="4120"/>
      </w:tblGrid>
      <w:tr>
        <w:trPr/>
        <w:tc>
          <w:tcPr>
            <w:tcW w:w="16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24, 2026</w:t>
            </w:r>
          </w:p>
        </w:tc>
        <w:tc>
          <w:tcPr>
            <w:tcW w:w="1074"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2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Sarah Stanton</w:t>
            </w:r>
          </w:p>
        </w:tc>
      </w:tr>
      <w:tr>
        <w:trPr/>
        <w:tc>
          <w:tcPr>
            <w:tcW w:w="16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194"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Sarah Stanton</w:t>
            </w:r>
          </w:p>
        </w:tc>
      </w:tr>
      <w:tr>
        <w:trPr/>
        <w:tc>
          <w:tcPr>
            <w:tcW w:w="16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 Chief Compliance Officer and Secretary</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305</Words>
  <Characters>1637</Characters>
  <CharactersWithSpaces>1954</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