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8369-02_8a12b.htm"/>
      <w:bookmarkStart w:id="1" w:name="ksea029836902_8a12b"/>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REGISTRATION OF CERTAIN CLASSES OF SECURITIES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12(b) OR 12(g)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Trinity Capital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855" w:type="dxa"/>
        <w:jc w:val="left"/>
        <w:tblInd w:w="0" w:type="dxa"/>
        <w:tblLayout w:type="fixed"/>
        <w:tblCellMar>
          <w:top w:w="0" w:type="dxa"/>
          <w:left w:w="0" w:type="dxa"/>
          <w:bottom w:w="28" w:type="dxa"/>
          <w:right w:w="0" w:type="dxa"/>
        </w:tblCellMar>
      </w:tblPr>
      <w:tblGrid>
        <w:gridCol w:w="4880"/>
        <w:gridCol w:w="60"/>
        <w:gridCol w:w="2915"/>
      </w:tblGrid>
      <w:tr>
        <w:trPr/>
        <w:tc>
          <w:tcPr>
            <w:tcW w:w="4880" w:type="dxa"/>
            <w:tcBorders>
              <w:bottom w:val="single" w:sz="8" w:space="0" w:color="000000"/>
            </w:tcBorders>
            <w:vAlign w:val="center"/>
          </w:tcPr>
          <w:p>
            <w:pPr>
              <w:pStyle w:val="TableContents"/>
              <w:bidi w:val="0"/>
              <w:spacing w:before="0" w:after="283"/>
              <w:jc w:val="center"/>
              <w:rPr>
                <w:b/>
                <w:sz w:val="20"/>
              </w:rPr>
            </w:pPr>
            <w:r>
              <w:rPr>
                <w:b/>
                <w:sz w:val="20"/>
              </w:rPr>
              <w:t>Maryland</w:t>
            </w:r>
          </w:p>
        </w:tc>
        <w:tc>
          <w:tcPr>
            <w:tcW w:w="60" w:type="dxa"/>
            <w:tcBorders/>
            <w:tcMar>
              <w:bottom w:w="0" w:type="dxa"/>
            </w:tcMar>
            <w:vAlign w:val="center"/>
          </w:tcPr>
          <w:p>
            <w:pPr>
              <w:pStyle w:val="TableContents"/>
              <w:bidi w:val="0"/>
              <w:spacing w:before="0" w:after="283"/>
              <w:jc w:val="left"/>
              <w:rPr/>
            </w:pPr>
            <w:r>
              <w:rPr/>
              <w:t> </w:t>
            </w:r>
          </w:p>
        </w:tc>
        <w:tc>
          <w:tcPr>
            <w:tcW w:w="2915" w:type="dxa"/>
            <w:tcBorders>
              <w:bottom w:val="single" w:sz="8" w:space="0" w:color="000000"/>
            </w:tcBorders>
            <w:vAlign w:val="center"/>
          </w:tcPr>
          <w:p>
            <w:pPr>
              <w:pStyle w:val="TableContents"/>
              <w:bidi w:val="0"/>
              <w:spacing w:before="0" w:after="283"/>
              <w:jc w:val="center"/>
              <w:rPr>
                <w:b/>
                <w:sz w:val="20"/>
              </w:rPr>
            </w:pPr>
            <w:r>
              <w:rPr>
                <w:b/>
                <w:sz w:val="20"/>
              </w:rPr>
              <w:t>35-2670395</w:t>
            </w:r>
          </w:p>
        </w:tc>
      </w:tr>
      <w:tr>
        <w:trPr/>
        <w:tc>
          <w:tcPr>
            <w:tcW w:w="4880" w:type="dxa"/>
            <w:tcBorders/>
            <w:tcMar>
              <w:bottom w:w="0" w:type="dxa"/>
            </w:tcMar>
            <w:vAlign w:val="center"/>
          </w:tcPr>
          <w:p>
            <w:pPr>
              <w:pStyle w:val="TableContents"/>
              <w:bidi w:val="0"/>
              <w:spacing w:before="0" w:after="283"/>
              <w:jc w:val="center"/>
              <w:rPr>
                <w:sz w:val="20"/>
              </w:rPr>
            </w:pPr>
            <w:r>
              <w:rPr>
                <w:sz w:val="20"/>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915"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283"/>
              <w:jc w:val="center"/>
              <w:rPr>
                <w:b/>
                <w:sz w:val="20"/>
              </w:rPr>
            </w:pPr>
            <w:r>
              <w:rPr>
                <w:b/>
                <w:sz w:val="20"/>
              </w:rPr>
              <w:t>1 N. 1</w:t>
            </w:r>
            <w:r>
              <w:rPr>
                <w:b/>
                <w:position w:val="7"/>
                <w:sz w:val="16"/>
                <w:sz w:val="20"/>
              </w:rPr>
              <w:t>st</w:t>
            </w:r>
            <w:r>
              <w:rPr>
                <w:b/>
                <w:sz w:val="20"/>
              </w:rPr>
              <w:t xml:space="preserve"> Street, Suite 302</w:t>
              <w:br/>
              <w:t>Phoenix, Arizona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r>
              <w:rPr>
                <w:b/>
                <w:sz w:val="20"/>
              </w:rPr>
              <w:t>85004</w:t>
            </w:r>
          </w:p>
        </w:tc>
      </w:tr>
      <w:tr>
        <w:trPr/>
        <w:tc>
          <w:tcPr>
            <w:tcW w:w="321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to be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3515"/>
        <w:gridCol w:w="60"/>
        <w:gridCol w:w="2810"/>
      </w:tblGrid>
      <w:tr>
        <w:trPr/>
        <w:tc>
          <w:tcPr>
            <w:tcW w:w="3515" w:type="dxa"/>
            <w:tcBorders/>
            <w:vAlign w:val="center"/>
          </w:tcPr>
          <w:p>
            <w:pPr>
              <w:pStyle w:val="TableContents"/>
              <w:bidi w:val="0"/>
              <w:spacing w:before="0" w:after="283"/>
              <w:jc w:val="center"/>
              <w:rPr>
                <w:b/>
                <w:sz w:val="20"/>
              </w:rPr>
            </w:pPr>
            <w:r>
              <w:rPr>
                <w:b/>
                <w:sz w:val="20"/>
              </w:rPr>
              <w:t>Title of each class</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center"/>
              <w:rPr>
                <w:b/>
                <w:sz w:val="20"/>
              </w:rPr>
            </w:pPr>
            <w:r>
              <w:rPr>
                <w:b/>
                <w:sz w:val="20"/>
              </w:rPr>
              <w:t>Name of each exchange on which</w:t>
            </w:r>
          </w:p>
        </w:tc>
      </w:tr>
      <w:tr>
        <w:trPr/>
        <w:tc>
          <w:tcPr>
            <w:tcW w:w="351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to be so registered</w:t>
            </w:r>
          </w:p>
        </w:tc>
        <w:tc>
          <w:tcPr>
            <w:tcW w:w="60" w:type="dxa"/>
            <w:tcBorders/>
            <w:vAlign w:val="center"/>
          </w:tcPr>
          <w:p>
            <w:pPr>
              <w:pStyle w:val="TableContents"/>
              <w:bidi w:val="0"/>
              <w:spacing w:before="0" w:after="283"/>
              <w:jc w:val="left"/>
              <w:rPr/>
            </w:pPr>
            <w:r>
              <w:rPr/>
              <w:t> </w:t>
            </w:r>
          </w:p>
        </w:tc>
        <w:tc>
          <w:tcPr>
            <w:tcW w:w="281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each class is to be registered</w:t>
            </w:r>
          </w:p>
        </w:tc>
      </w:tr>
      <w:tr>
        <w:trPr/>
        <w:tc>
          <w:tcPr>
            <w:tcW w:w="3515" w:type="dxa"/>
            <w:tcBorders/>
            <w:vAlign w:val="center"/>
          </w:tcPr>
          <w:p>
            <w:pPr>
              <w:pStyle w:val="TableContents"/>
              <w:bidi w:val="0"/>
              <w:spacing w:before="0" w:after="283"/>
              <w:jc w:val="center"/>
              <w:rPr>
                <w:sz w:val="20"/>
              </w:rPr>
            </w:pPr>
            <w:r>
              <w:rPr>
                <w:sz w:val="20"/>
              </w:rPr>
              <w:t>Common Stock, par value $0.001 per share</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center"/>
              <w:rPr>
                <w:sz w:val="20"/>
              </w:rPr>
            </w:pPr>
            <w:r>
              <w:rPr>
                <w:sz w:val="20"/>
              </w:rPr>
              <w:t>NYSE Texas, Inc.</w:t>
            </w:r>
          </w:p>
        </w:tc>
      </w:tr>
      <w:tr>
        <w:trPr/>
        <w:tc>
          <w:tcPr>
            <w:tcW w:w="3515" w:type="dxa"/>
            <w:tcBorders/>
            <w:vAlign w:val="center"/>
          </w:tcPr>
          <w:p>
            <w:pPr>
              <w:pStyle w:val="TableContents"/>
              <w:bidi w:val="0"/>
              <w:spacing w:before="0" w:after="283"/>
              <w:jc w:val="center"/>
              <w:rPr>
                <w:sz w:val="20"/>
              </w:rPr>
            </w:pPr>
            <w:r>
              <w:rPr>
                <w:sz w:val="20"/>
              </w:rPr>
              <w:t>7.875% Notes due 2029</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center"/>
              <w:rPr>
                <w:sz w:val="20"/>
              </w:rPr>
            </w:pPr>
            <w:r>
              <w:rPr>
                <w:sz w:val="20"/>
              </w:rPr>
              <w:t>NYSE Texas, Inc.</w:t>
            </w:r>
          </w:p>
        </w:tc>
      </w:tr>
      <w:tr>
        <w:trPr/>
        <w:tc>
          <w:tcPr>
            <w:tcW w:w="3515" w:type="dxa"/>
            <w:tcBorders/>
            <w:vAlign w:val="center"/>
          </w:tcPr>
          <w:p>
            <w:pPr>
              <w:pStyle w:val="TableContents"/>
              <w:bidi w:val="0"/>
              <w:spacing w:before="0" w:after="283"/>
              <w:jc w:val="center"/>
              <w:rPr>
                <w:sz w:val="20"/>
              </w:rPr>
            </w:pPr>
            <w:r>
              <w:rPr>
                <w:sz w:val="20"/>
              </w:rPr>
              <w:t>7.875% Notes due 2029</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center"/>
              <w:rPr>
                <w:sz w:val="20"/>
              </w:rPr>
            </w:pPr>
            <w:r>
              <w:rPr>
                <w:sz w:val="20"/>
              </w:rPr>
              <w:t xml:space="preserve">NYSE Texas, Inc.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12(b) of the Exchange Act and is effective pursuant to General Instruction A.(c) or (e),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12(g) of the Exchange Act and is effective pursuant to General Instruction A.(d) or (e),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concurrently with a Regulation A offering,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Act registration statement or Regulation A offering statement filed number to which this form relates: </w:t>
      </w: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to be registered pursuant to Section 12(g)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Trinity Capital Inc. (the “Company”) is filing this Registration Statement on Form 8-A in connection with the transfer of the listing from The Nasdaq Stock Market LLC (“Nasdaq”) to NYSE Texas of: (i) the Company’s common stock, par value $0.001 per share (the “Common Stock”), (ii) the Company’s 7.875% Notes due 2029 (the “March 2029 Notes”) and (iii) the Company’s 7.875% Notes due 2029 (the “September 2029 Notes” and together with the March 2029 Notes, the “Notes”). The Common Stock, the March 2029 Notes and the September 2029 Notes will trade on NYSE Texas under the symbols “TRIN,” “TRNZ” and “TRNI”, respectively. The Company expects the listing and trading of the Common Stock and the Notes on Nasdaq to cease at the close of trading on or about July 24, 2026, and the listing and the trading of the Common Stock and the Notes on NYSE Texas to begin at market open on or about July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 Description of Registrant’s Securities to be Registered.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Common Stock contained under the captions “Common Stock, par value $0.001 per share,” “Limitation on Liability of Directors and Officers; Indemnification and Advance of Expenses,” “Certain Provisions of the MGCL and Our Charter and Bylaws; Anti-Takeover Measures” and “Exclusive Forum” in Exhibit 4.13 to the Company’s Annual Report on Form 10-K for the fiscal year ended December 31, 2025 (File No. 814-01341) filed with the Securities and Exchange Commission (the “SEC”) on February 25, 2026 (the “Annual Report”) is incorporated herein by reference, except that any reference to “Nasdaq Global Select Market” is hereby amended to “New York Stock Exchange” and “NYSE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March 2029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March 2029 Notes contained under the captions (i) “Description of the Notes” in the Company’s prospectus supplement dated March 25, 2024 (Registration No. 333-275970), filed with the SEC on March 27, 2024 pursuant to Rule 424 under the Securities Act of 1933 (as amended, the “Securities Act”), (ii) “March 2029 Notes” in Exhibit 4.13 to the Company’s Annual Report and (iii) “March 2029 Notes” in “Item 1. Notes to Consolidated Financial Statements (unaudited) – Note 5. Borrowings” of the Company’s Quarterly Report on Form 10-Q for the fiscal quarter ended March 31, 2026 (File No. 001-39958) filed with the SEC on May 6, 2026 (the “Quarterly Report”) is incorporated herein by reference, except that any reference to “Nasdaq Global Select Market” is hereby amended to “New York Stock Exchange” and “NYSE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2029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September 2029 Notes contained under the captions (i) “Description of the Notes” in the Company’s prospectus supplement dated July 16, 2024 (Registration No. 333-275970), filed with the SEC on July 18, 2024 pursuant to Rule 424 under the Securities Act, (ii) “September 2029 Notes” in Exhibit 4.13 to the Company’s Annual Report and (iii) “September 2029 Notes” in “Item 1. Notes to Consolidated Financial Statements (unaudited) – Note 5. Borrowings” of the Quarterly Report is incorporated herein by reference, except that any reference to “Nasdaq Global Select Market” is hereby amended to “New York Stock Exchange” and “NYSE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Instructions as to Exhibits with respect to Form 8-A, no exhibits are required to be filed because no other securities of the Company are registered on NYSE Texas, and the securities registered hereby are not being registered pursuant to Section 12(g)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12 of the Securities Exchange Act of 1934, the registrant has duly caused this registration statement to be signed on its behalf by the undersigned, thereto duly authorized.</w:t>
      </w:r>
    </w:p>
    <w:p>
      <w:pPr>
        <w:pStyle w:val="TextBody"/>
        <w:bidi w:val="0"/>
        <w:spacing w:before="0" w:after="0"/>
        <w:ind w:left="0" w:right="0" w:firstLine="724"/>
        <w:jc w:val="left"/>
        <w:rPr>
          <w:caps w:val="false"/>
          <w:smallCaps w:val="false"/>
        </w:rPr>
      </w:pPr>
      <w:r>
        <w:rPr>
          <w:caps w:val="false"/>
          <w:smallCaps w:val="false"/>
        </w:rPr>
        <w:t> </w:t>
      </w:r>
    </w:p>
    <w:tbl>
      <w:tblPr>
        <w:tblW w:w="5355" w:type="dxa"/>
        <w:jc w:val="left"/>
        <w:tblInd w:w="0" w:type="dxa"/>
        <w:tblLayout w:type="fixed"/>
        <w:tblCellMar>
          <w:top w:w="0" w:type="dxa"/>
          <w:left w:w="0" w:type="dxa"/>
          <w:bottom w:w="0" w:type="dxa"/>
          <w:right w:w="0" w:type="dxa"/>
        </w:tblCellMar>
      </w:tblPr>
      <w:tblGrid>
        <w:gridCol w:w="1625"/>
        <w:gridCol w:w="545"/>
        <w:gridCol w:w="3185"/>
      </w:tblGrid>
      <w:tr>
        <w:trPr/>
        <w:tc>
          <w:tcPr>
            <w:tcW w:w="162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b/>
                <w:sz w:val="20"/>
              </w:rPr>
            </w:pPr>
            <w:r>
              <w:rPr>
                <w:b/>
                <w:sz w:val="20"/>
              </w:rPr>
              <w:t>TRINITY CAPITAL INC.</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 July 17, 2026</w:t>
            </w:r>
          </w:p>
        </w:tc>
        <w:tc>
          <w:tcPr>
            <w:tcW w:w="545" w:type="dxa"/>
            <w:tcBorders/>
            <w:vAlign w:val="center"/>
          </w:tcPr>
          <w:p>
            <w:pPr>
              <w:pStyle w:val="TableContents"/>
              <w:bidi w:val="0"/>
              <w:spacing w:before="0" w:after="283"/>
              <w:jc w:val="left"/>
              <w:rPr>
                <w:sz w:val="20"/>
              </w:rPr>
            </w:pPr>
            <w:r>
              <w:rPr>
                <w:sz w:val="20"/>
              </w:rPr>
              <w:t>By:</w:t>
            </w:r>
          </w:p>
        </w:tc>
        <w:tc>
          <w:tcPr>
            <w:tcW w:w="318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Kyle Brown</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185" w:type="dxa"/>
            <w:tcBorders/>
            <w:vAlign w:val="center"/>
          </w:tcPr>
          <w:p>
            <w:pPr>
              <w:pStyle w:val="TableContents"/>
              <w:bidi w:val="0"/>
              <w:spacing w:before="0" w:after="283"/>
              <w:jc w:val="left"/>
              <w:rPr>
                <w:sz w:val="20"/>
              </w:rPr>
            </w:pPr>
            <w:r>
              <w:rPr>
                <w:sz w:val="20"/>
              </w:rPr>
              <w:t>Kyle Brown</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185" w:type="dxa"/>
            <w:tcBorders/>
            <w:vAlign w:val="center"/>
          </w:tcPr>
          <w:p>
            <w:pPr>
              <w:pStyle w:val="TableContents"/>
              <w:bidi w:val="0"/>
              <w:spacing w:before="0" w:after="283"/>
              <w:jc w:val="left"/>
              <w:rPr>
                <w:sz w:val="20"/>
              </w:rPr>
            </w:pPr>
            <w:r>
              <w:rPr>
                <w:sz w:val="20"/>
              </w:rPr>
              <w:t xml:space="preserve">Chief Executive Officer, President and </w:t>
              <w:br/>
              <w:t>Chief Investment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891</Words>
  <Characters>4646</Characters>
  <CharactersWithSpaces>5540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